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E-5694/2014 vom 22. Oktober 2014</w:t>
      </w:r>
    </w:p>
    <w:p>
      <w:r>
        <w:t>Bundesverwaltungsgericht, 2014-10-22, FR</w:t>
      </w:r>
    </w:p>
    <w:p>
      <w:r>
        <w:rPr>
          <w:b/>
        </w:rPr>
        <w:t xml:space="preserve">Quelle: </w:t>
      </w:r>
      <w:r>
        <w:t>https://mcp.opencaselaw.ch/entscheid/bvger_E-5694_2014</w:t>
      </w:r>
    </w:p>
    <w:p>
      <w:r>
        <w:t>FR: TAF E-5694/2014 du 22 octobre 2014</w:t>
      </w:r>
    </w:p>
    <w:p>
      <w:r>
        <w:t>IT: TAF E-5694/2014 del 22 ottobre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w:t>
      </w:r>
    </w:p>
    <w:p>
      <w:r>
        <w:t>L'intéressé n'a pas contesté la décision de l'ODM en tant qu'elle lui dénie la qualité de réfugié, rejette sa demande d'asile et prononce son renvoi du Suisse de sorte que, sur ces points, elle a acquis la force de chose décidée. Reste en conséquence à examiner si l'ODM a, à juste titre, ordonné l'exécution du renvoi de l'intéressé dans son pays d'origine (art. 44 al. 1 LAsi).</w:t>
      </w:r>
    </w:p>
    <w:p>
      <w:r>
        <w:rPr>
          <w:b/>
        </w:rPr>
        <w:t>E. 3</w:t>
      </w:r>
    </w:p>
    <w:p>
      <w:r>
        <w:t>L'exécution du renvoi est ordonnée si elle est licite, raisonnablement exigible et possible. Si ces conditions ne sont pas réunies, l'admission provisoire doit être prononcée. Celle-ci est réglée par l'art. 84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4.4</w:t>
      </w:r>
    </w:p>
    <w:p>
      <w:r>
        <w:t>Dans le cas d'espèce, l'exécution du renvoi ne contrevient pas au principe de non-refoulement de l'art. 5 LAsi ni à d'autres engagements de la Suisse relevant du droit international de sorte qu'elle s'avère licite (art. 44 al. 2 LAsi et 83 al. 3 LEtr).</w:t>
      </w:r>
    </w:p>
    <w:p>
      <w:r>
        <w:rPr>
          <w:b/>
        </w:rPr>
        <w:t>E. 4.5</w:t>
      </w:r>
    </w:p>
    <w:p>
      <w:r>
        <w:t>En effet, le recourant n'a pas rendu vraisemblable qu'en cas de retour dans son pays d'origine, il serait exposé à de préjudices. L'intéressé prétend ainsi avoir été poursuivi pour sacrilège par un tribunal islamique et avoir été condamné à être amputé d'un bras. Force est toutefois de constater avec l'ODM que ses propos ne parviennent pas à convaincre. Inconstants et dépourvus de détails significatifs d'une expérience réellement vécue, ils frappent par leur incohérence. Ainsi, d'une part, l'intéressé affirme que c'est le père de son ami qui l'a dénoncé pour avoir profané le Coran alors que, d'autre part, il déclare que c'est grâce à celui-ci qu'il a été relâché après son procès. Le discours de l'intéressé manque par ailleurs de précision. Ainsi, on ne comprend ni les circonstances de l'échauffourée dans laquelle il affirme avoir été impliqué ni les circonstances de sa fuite : tantôt il affirme qu'il a gagné la maison du père de son ami, tantôt, il déclare qu'il est parvenu à se cacher dans un bâtiment dédié au culte.</w:t>
      </w:r>
    </w:p>
    <w:p>
      <w:r>
        <w:rPr>
          <w:b/>
        </w:rPr>
        <w:t>E. 4.6</w:t>
      </w:r>
    </w:p>
    <w:p>
      <w:r>
        <w:t>Dès lors, l'exécution du renvoi du recourant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5.2</w:t>
      </w:r>
    </w:p>
    <w:p>
      <w:r>
        <w:t>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En outre, il ne ressort du dossier aucun élément dont on pourrait inférer que l'exécution du renvoi impliquerait une mise en danger concrète du recourant. A cet égard, le Tribunal observe en particulier que s'agissant de l'offre de preuve, articulée au stade de recours et tendant à se faire octroyer un délai pour produire un certificat médical, rien ne justifie d'y donner une suite favorable. Il convient en effet d'observer que l'intéressé souhaite consulter un médecin pour un problème d'épaule survenu en 2007. Aucun élément du dossier ne permet de conclure que le recourant souffre actuellement d'une atteinte à la santé de gravité telle qu'elle puisse empêcher son renvoi.</w:t>
      </w:r>
    </w:p>
    <w:p>
      <w:r>
        <w:rPr>
          <w:b/>
        </w:rPr>
        <w:t>E. 5.4</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en tant qu'il conteste la décision de renvoi et son exécution, doit être également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