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E-5694/2012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https://mcp.opencaselaw.ch/entscheid/bvger_E-5694_2012</w:t>
      </w:r>
    </w:p>
    <w:p>
      <w:r>
        <w:t>FR: TAF E-5694/2012 du 14 novembre 2012</w:t>
      </w:r>
    </w:p>
    <w:p>
      <w:r>
        <w:t>IT: TAF E-5694/2012 del 14 novembre 2012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28. September 2012 wird aufgehoben und die Sache zur Entscheidbegründung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für das Rechtsmittelverfahren eine Parteientschädigung von Fr. 410. zu entrichten.</w:t>
      </w:r>
    </w:p>
    <w:p>
      <w:r>
        <w:rPr>
          <w:b/>
        </w:rPr>
        <w:t>E. 5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