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E-5692/2010 vom 20. August 2010</w:t>
      </w:r>
    </w:p>
    <w:p>
      <w:r>
        <w:t>Bundesverwaltungsgericht, 2010-08-20, FR</w:t>
      </w:r>
    </w:p>
    <w:p>
      <w:r>
        <w:rPr>
          <w:b/>
        </w:rPr>
        <w:t xml:space="preserve">Quelle: </w:t>
      </w:r>
      <w:r>
        <w:t>https://mcp.opencaselaw.ch/entscheid/bvger_E-5692_2010</w:t>
      </w:r>
    </w:p>
    <w:p>
      <w:r>
        <w:t>FR: TAF E-5692/2010 du 20 août 2010</w:t>
      </w:r>
    </w:p>
    <w:p>
      <w:r>
        <w:t>IT: TAF E-5692/2010 del 20 agosto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S'il refuse l'entrée en Suisse et assigne au requérant la zone de transit de l'aéroport comme lieu de séjour, l'ODM peut rejeter la demande d'asile conformément aux art. 40 et 41 (art. 23 al. 1 let. a LAsi).</w:t>
      </w:r>
    </w:p>
    <w:p>
      <w:r>
        <w:rPr>
          <w:b/>
        </w:rPr>
        <w:t>E. 1.3</w:t>
      </w:r>
    </w:p>
    <w:p>
      <w:r>
        <w:t>Le recourant a qualité pour recourir. Présenté dans la forme et les délais prescrits par la loi, le recours est recevable (art. 48 et 52 PA et 108 al. 2 LAsi).</w:t>
      </w:r>
    </w:p>
    <w:p>
      <w:r>
        <w:rPr>
          <w:b/>
        </w:rPr>
        <w:t>E. 2</w:t>
      </w:r>
    </w:p>
    <w:p>
      <w:r>
        <w:t>La conclusion tendant à autoriser l'entrée en Suisse est irrecevable, l'intéressé étant maintenant forclos. en effet, il lui appartenait de contester la décision prise à ce sujet par l'ODM, le 21 juillet 2010, par la voie d'un recours direct, interjeté au plus tard jusqu'à la notification de la décision de fond (cf. art. 22 al. 4 et 108 al. 3 LAsi), ce qu'il n'a pas fait.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d'établir la crédibilité de ses motifs. En effet, la réalité de son engagement politique est sujette à caution. L'intéressé ne semble pas avoir une idée très précise des positions et objectifs du RDR, ni de la manière dont il est organisé ; les fonctions qu'il aurait occupées dans ce parti ne sont pas non plus claires. A cela s'ajoute que la copie de sa carte du RDR ne fait pas mention du quartier de B._______, où aurait été actif, mais d'une autre quartier. Les circonstances dans lesquelles il aurait manqué d'être arrêté et se serait enfui ont en outre été dépeintes de manière confuse et contradictoire ; il en va de même du moment auquel il aurait reçu son passeport d'emprunt, situé en juin, puis en juillet 2010. Il est en outre peu crédible que la police, qui l'aurait recherché dès le 23 juin 2010, n'ait pu le trouver à son adresse, où il serait resté jusqu'au 19 juillet suivant, veille de son départ. Le Tribunal n'est pas non plus convaincu que le RDR, parti d'opposition aux ressources limitées, ait financé l'obtention du passeport falsifié ainsi que le billet d'avion du recourant, militant de faible importance.</w:t>
      </w:r>
    </w:p>
    <w:p>
      <w:r>
        <w:rPr>
          <w:b/>
        </w:rPr>
        <w:t>E. 4.2</w:t>
      </w:r>
    </w:p>
    <w:p>
      <w:r>
        <w:t>Quant aux documents déposés par l'intéressé, ils n'emportent en rien la conviction. Il n'est en effet pas vraisemblable que la convocation de police ait été remise au siège du RDR, à charge pour lui de la transmettre à l'intéressé, alors qu'il était facile de connaître l'adresse de ce dernier. Par ailleurs, le Tribunal constate que la convocation, l'avis de recherche et le mandat d'arrêt (dont les deux derniers montrent une rédaction fantaisiste) portent tous la date du 25 juin 2010, ce qui ne revêt aucune logique ; de plus, on comprend mal comment la direction locale du RDR aurait pu se trouver en possession du mandat d'arrêt. Enfin, le recourant reconnaît lui-même n'avoir jamais eu de contacts avec l'organe de presse ayant censément publié ses propos (cf. audition du 30 juillet 2010, questions 173-178) ; la pièce en cause peut donc être écartée comme fallacieuse.</w:t>
      </w:r>
    </w:p>
    <w:p>
      <w:r>
        <w:rPr>
          <w:b/>
        </w:rPr>
        <w:t>E. 4.3</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n'a pas établi l'existence d'une haute probabilité de mauvais traitements, au sens vu pus haut.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de la Côte-d'Ivoire, la jurisprudence récente a admis (ATAF 2009/41 consid. 7.10-7.11 p. 586-587) que vu l'amélioration de la situation sécuritaire, l'exécution du renvoi, si elle n'était pas raisonnablement exigible dans plusieurs régions de l'ouest et du nord du pays, pouvait cependant avoir lieu en direction du sud et de l'est, ainsi qu'à Abidjan, à condition qu'une telle option, dans le cas concret, puisse être raisonnablement exigée du requérant. L'exécution du renvoi de l'intéressé, qui a toujours vécu à Abidjan et dans sa région, est donc raisonnablement exigible dans son principe.</w:t>
      </w:r>
    </w:p>
    <w:p>
      <w:r>
        <w:rPr>
          <w:b/>
        </w:rPr>
        <w:t>E. 8.3</w:t>
      </w:r>
    </w:p>
    <w:p>
      <w:r>
        <w:t>En outre, il ne ressort du dossier aucun élément dont on pourrait inférer que l'exécution du renvoi impliquerait une mise en danger concrète du recourant. A cet égard, l'autorité de céans relève qu'il est encore jeune, au bénéfice d'une expérience professionnelle dans l'informatique et n'a pas allégué de problème de santé particulier. Au demeurant, il dispose d'un important réseau familial et social dans son pays,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12</w:t>
      </w:r>
    </w:p>
    <w:p>
      <w:r>
        <w:t>Dans la mesure où les conclusions du recours étaient d'emblée vouées à l'échec, la demande d'assistance judiciaire partielle doit être rejetée (art. 65 al. 1 PA). La requête de mesures provisionnelles est par ailleurs sans objet, la décision de fond ayant été rendue.</w:t>
      </w:r>
    </w:p>
    <w:p>
      <w:r>
        <w:rPr>
          <w:b/>
        </w:rPr>
        <w:t>E. 13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