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E-5687/2023 vom 12. Februar 2025</w:t>
      </w:r>
    </w:p>
    <w:p>
      <w:r>
        <w:t>Bundesverwaltungsgericht, 2025-02-12, DE</w:t>
      </w:r>
    </w:p>
    <w:p>
      <w:r>
        <w:rPr>
          <w:b/>
        </w:rPr>
        <w:t xml:space="preserve">Quelle: </w:t>
      </w:r>
      <w:r>
        <w:t>https://mcp.opencaselaw.ch/entscheid/bvger_E-5687_2023</w:t>
      </w:r>
    </w:p>
    <w:p>
      <w:r>
        <w:t>FR: TAF E-5687/2023 du 12 février 2025</w:t>
      </w:r>
    </w:p>
    <w:p>
      <w:r>
        <w:t>IT: TAF E-5687/2023 del 12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E-5687/2023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Beschwerde wird gerügt, das SEM habe im Zusammenhang mit sowohl den individuellen Asylgründen des Beschwerdeführers (Risikoprofil aufgrund seiner Nähe zur Gülen-Bewegung, dem Bestehen möglicher hän- giger Strafverfahren, der Inhaftierung seines Bruders) als auch der länder- spezifischen Lage (insbesondere der aktuellen Verfolgungslage von Hiz- met-Anhängern) eine unvollständige und unrichtige Feststellung des Sach- verhalts vorgenommen. Diese formelle Rüge ist vorab zu beurteilen, da sie allenfalls geeignet sein kann, zur Rückweisung der Sache an die Vorinstanz zu führen (vgl. Urteile des Bundesverwaltungsgerichts [BVGer] E-4967/2021 vom 13. Januar 2025 E. 3.1; E-3312/2021 vom 29. Mai 2024 E. 6; BVGE 2013/34 E. 4.2).</w:t>
      </w:r>
    </w:p>
    <w:p>
      <w:r>
        <w:rPr>
          <w:b/>
        </w:rPr>
        <w:t>E. 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w:t>
      </w:r>
    </w:p>
    <w:p>
      <w:r>
        <w:t>Aus der angefochtenen Verfügung geht hervor, dass das SEM die Aus- führungen des Beschwerdeführers vor dem Hintergrund sowohl seiner per- sönlichen Situation als auch der aktuellen Lage in der Türkei eingehend gewürdigt hat. Die Vorgehensweise der Vorinstanz ist nicht zu beanstan- den, zumal sie sich mit den wesentlichen Vorbringen des Beschwerdefüh- rers hinreichend auseinandergesetzt hat und eine sachgerechte Anfech- tung ohne Weiteres möglich war. Insbesondere muss sich die Vorinstanz nicht mit allen Aussagen des Beschwerdeführers einzeln auseinanderset- zen. Eine Verletzung der Begründungspflicht als Teilgehalt des rechtlichen</w:t>
      </w:r>
    </w:p>
    <w:p>
      <w:r>
        <w:t>E-5687/2023 Seite 5 Gehörs liegt nicht vor (vgl. Urteil des BVGer E-4967/2021 vom 13. Januar 2025 E. 3.2). Dass der Beschwerdeführer die Auffassung des SEM – ins- besondere die Beurteilung seines Profils betreffend – nicht teilt, stellt keine Verletzung der behördlichen Pflicht zur richtigen und vollständigen Sach- verhaltsfeststellung dar, sondern ist eine Frage der materiellen Beurteilung (vgl. Urteil des BVGer E-4967/2021 vom 13. Januar 2025 E. 3.5 f.; E. 7 nachstehend).</w:t>
      </w:r>
    </w:p>
    <w:p>
      <w:r>
        <w:rPr>
          <w:b/>
        </w:rPr>
        <w:t>E. 4.4</w:t>
      </w:r>
    </w:p>
    <w:p>
      <w:r>
        <w:t>Die formelle Rüge erweist sich angesichts dieser Sachlage als unbe- gründet, weshalb keine Veranlassung besteht, die Sache aus formellen Gründen aufzuheben und gemäss Subeventualantrag an die Vorinstanz zurückzuweisen. Das diesbezügliche Rechtsbegehren ist daher abzuwei- sen. Das Gericht hat demnach in der Sache zu entscheiden (Art. 61 Abs. 1 VwVG; E. 9.5 nachstehend).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w:t>
      </w:r>
    </w:p>
    <w:p>
      <w:r>
        <w:t>E-5687/2023 Seite 6 sein. Zudem muss die geltend gemachte Gefährdungslage aktuell sein (vgl. BVGE 2007/31 E. 5.2 f. m.w.H.).</w:t>
      </w:r>
    </w:p>
    <w:p>
      <w:r>
        <w:rPr>
          <w:b/>
        </w:rPr>
        <w:t>E. 6.1</w:t>
      </w:r>
    </w:p>
    <w:p>
      <w:r>
        <w:t>Das SEM führte zur Begründung seines Entscheids an, die Vorbringen des Beschwerdeführers würden den Anforderungen an die Flüchtlingsei- genschaft nach Art. 3 AsylG nicht standhalten. So habe er eigenen Anga- ben zufolge Personen aus dem Hizmet-Umfeld mit Geldzahlungen unter- stützt, wobei diese Aktivität zu keinen strafrechtlichen Massnahmen der türkischen Behörden gegen ihn geführt hätten. Soweit der Beschwerdefüh- rer vorbrachte, die Drittperson, über welche die Geldzahlungen geflossen sei, sei verschwunden und es seien Identitätskontrollen an seinem Woh- nort durchgeführt worden, begründe dies ebenso wenig eine flüchtlings- rechtlich relevante Furcht vor einer Verfolgung. Auch der Umstand, dass sein Bruder aufgrund dessen Mitgliedschaft bei der Gülen-Bewegung zu einer Freiheitsstrafe verurteilt worden sei, was im Übrigen von der Vorinstanz auch nicht bestritten werde, habe zu keinen flüchtlingsrechtlich relevanten Verfolgungsmassnahmen gegen den Beschwerdeführer ge- führt. Es sei nicht davon auszugehen, dass sich in absehbarer Zeit und mit hoher Wahrscheinlichkeit eine Verfolgungssituation ergeben werde.</w:t>
      </w:r>
    </w:p>
    <w:p>
      <w:r>
        <w:rPr>
          <w:b/>
        </w:rPr>
        <w:t>E. 6.2</w:t>
      </w:r>
    </w:p>
    <w:p>
      <w:r>
        <w:t>Dem entgegnet der Beschwerdeführer in der Beschwerde in materieller Hinsicht, dass er aufgrund seiner Tätigkeit als Geldkurier mit hoher Wahr- scheinlichkeit strafrechtlich verfolgt werde, wobei er einen Anwalt in der Türkei beauftragt habe, das Bestehen möglicher Strafverfahren zu unter- suchen. Unter Verweis auf die allgemeine Bedrohungslage von Gülen-An- hängern in der Türkei befürchte er, der Beschwerdeführer, ebenfalls inhaf- tiert zu werden. Trotz der Angst vor Repressalien habe er seinen Bruder im Gefängnis besucht und sei für ihn und andere Anhänger der Bewegung als Geldkurier tätig gewesen. Ausserdem sei er im November 2019 von der Polizei angehalten worden und in den türkischen Medien als Mitglied der FETÖ (Fethullahçı Terör Örgütü; Fethullahistische Terrororganisation) dar- gestellt worden.</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zutreffenden Ausführungen des SEM (s. angefochtene Verfügung S. 3 f. und E. 6.1 vorstehend) verwiesen werden, soweit sich nicht die folgenden Ergänzungen und</w:t>
      </w:r>
    </w:p>
    <w:p>
      <w:r>
        <w:t>E-5687/2023 Seite 7 Hervorhebungen ergeben (vgl. Urteil des BVGer D-2975/2021 vom 24. Ja- nuar 2025 E. 9.1).</w:t>
      </w:r>
    </w:p>
    <w:p>
      <w:r>
        <w:rPr>
          <w:b/>
        </w:rPr>
        <w:t>E. 7.2</w:t>
      </w:r>
    </w:p>
    <w:p>
      <w:r>
        <w:t>Das SEM hat zutreffend festgehalten, dass der Beschwerdeführer keine begründete Furcht vor einer aktuellen asylrelevanten Verfolgung hat. Es liegen auch auf Beschwerdeebene keinerlei Hinweise dafür vor, dass gegen den Beschwerdeführer in seinem Heimatstaat strafrechtlich ermittelt wird – weder aufgrund seiner Nähe zur Gülen-Bewegung noch im Zusam- menhang mit seinem inhaftierten Bruder (vgl. SEM-Akten […]-16/12 [nach- folgend: act. A16/12] F68 f.). Aufgrund der derzeitigen Aktenlage besteht keine beachtliche Wahrscheinlichkeit, dass der Beschwerdeführer in ab- sehbarer Zeit mit flüchtlingsrechtlich relevanten Verfolgungsmassnahmen in der Türkei zu rechnen hätte. Den Akten sind ausserdem keine konkreten Anhaltspunkte für ein Interesse der türkischen Behörden am Beschwerde- führer zu entnehmen. Diesbezüglich erscheint zentral, dass der Beschwer- deführer durch seine niederschwelligen Aktivitäten – insbesondere eigene (geringfügige) finanzielle Unterstützung der Gülenbewegung, Ausführung von Geldtransaktionen im Auftrag seines Bruders sowie Teilnahme an Le- sungen und religiösen Gesprächen – weder über ein politisches Profil noch über ein Netzwerk verfügt, das für die Sicherheitskräfte von Interesse sein könnte (act. A16/12 F34 ff.). Auch unter Berücksichtigung der Inhaftierung seines Bruders aufgrund dessen Mitgliedschaft bei der Gülen-Bewegung und dem früheren Engagement anderer Familienmitglieder für die Bewe- gung, ist nicht von einem Verfolgungsinteresse der heimatlichen Behörden auszugehen, zumal es Letzteren ohne Weiteres gelungen wäre, den Be- schwerdeführer festzunehmen. Soweit auf Beschwerdeebene ausgeführt wurde, der Beschwerdeführer sei im November 2019 von der Polizei ange- halten worden, ist festzustellen, dass er auch in diesem Zusammenhang nicht verhaftet und nach der Anhaltung ohne Weiteres und ohne konkrete Zusicherungen wieder freigelassen wurde (act. A21/18 F94). An dieser Einschätzung vermögen weder die Befürchtung des Beschwerdeführers, er werde aufgrund von Aussagen anderer Personen inhaftiert – wie dies im Falle seines Bruders geschah – noch die auf Beschwerdeebene einge- reichten Medienberichte zur Lage von Gülenisten in der Türkei, welche kei- nen direkten Zusammenhang zur Person des Beschwerdeführers aufwei- sen, etwas zu ändern.</w:t>
      </w:r>
    </w:p>
    <w:p>
      <w:r>
        <w:rPr>
          <w:b/>
        </w:rPr>
        <w:t>E. 7.3</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w:t>
      </w:r>
    </w:p>
    <w:p>
      <w:r>
        <w:t>E-5687/2023 Seite 8 Würdigung des Sachverhalts konkret zweifeln liessen, werden keine vor- getragen. Deshalb vermag der Beschwerdeführer die zutreffenden vorinstanzlichen Erwägungen nicht substanziiert in Frage zu stellen.</w:t>
      </w:r>
    </w:p>
    <w:p>
      <w:r>
        <w:rPr>
          <w:b/>
        </w:rPr>
        <w:t>E. 7.4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E-5687/2023 Seite 9</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t>E-5687/2023 Seite 10</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hat die letz- ten zwölf Jahre in Istanbul gelebt, eine Stadt, welche im Übrigen vom Erd- beben im Frühjahr 2023 nicht betroffen gewesen ist. Die Rückkehr des Be- schwerdeführers in seinen Heimatstaat ist demnach als generell zumutbar zu erachten.</w:t>
      </w:r>
    </w:p>
    <w:p>
      <w:r>
        <w:rPr>
          <w:b/>
        </w:rPr>
        <w:t>E. 9.3.3</w:t>
      </w:r>
    </w:p>
    <w:p>
      <w:r>
        <w:t>Auch in individueller Hinsicht sind keine Gründe ersichtlich, die gegen die Zumutbarkeit des Wegweisungsvollzugs sprechen. Wie vom SEM zu- treffend ausgeführt, ist der Beschwerdeführer jung und kann in seiner Hei- mat auf ein breites familiäres und soziales Beziehungsnetz zurückgreifen (act. A16/12 F14 ff.). Zudem verfügt er über eine Schulbildung und war stets in der Lage, selbständig für seinen Lebensunterhalt zu sorgen und einer Erwerbstätigkeit nachzugehen (act. A16/12 F41 f.). Gesundheitliche Probleme sind den vorinstanzlichen Akten ferner nicht zu entnehmen be- ziehungsweise wurden auch auf Beschwerdeebene nicht geltend gemacht (act. A16/12 F5). Insgesamt ist nicht davon auszugehen, dass der Be- schwerdeführer bei einer Rückkehr in sein Heimatland dort aus wirtschaft- lichen, sozialen oder gesundheitlichen Gründen in eine existenzbedro- hende Situation geraten würde. Andere individuelle Gründe, die gegen ei- nen Wegweisungsvollzug sprechen, sind ebenso wenig ersichtlich.</w:t>
      </w:r>
    </w:p>
    <w:p>
      <w:r>
        <w:rPr>
          <w:b/>
        </w:rPr>
        <w:t>E. 9.3.4</w:t>
      </w:r>
    </w:p>
    <w:p>
      <w:r>
        <w:t>Nach dem Gesagten erweist sich der Vollzug der Wegweisung auch als zumutbar.</w:t>
      </w:r>
    </w:p>
    <w:p>
      <w:r>
        <w:t>E-5687/2023 Seite 11</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wird das Gesuch um Verzicht auf die Er- hebung eines Kostenvorschusses gegenstandslos.</w:t>
      </w:r>
    </w:p>
    <w:p>
      <w:r>
        <w:rPr>
          <w:b/>
        </w:rPr>
        <w:t>E. 11.2</w:t>
      </w:r>
    </w:p>
    <w:p>
      <w:r>
        <w:t>Die Gesuche um Gewährung der unentgeltlichen Prozessführung und um amtliche Rechtsverbeiständung sind – ungeachtet der geltend gemach- ten Bedürftigkeit des Beschwerdeführers – abzuweisen, da die Begehren – wie sich aus den vorstehenden Erwägungen ergibt – als aussichtslos zu bezeichnen sind (Art. 65 Abs. 1 VwVG).</w:t>
      </w:r>
    </w:p>
    <w:p>
      <w:r>
        <w:rPr>
          <w:b/>
        </w:rPr>
        <w:t>E. 11.3</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E-5687/2023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