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E-5685/2016 vom 29. September 2016</w:t>
      </w:r>
    </w:p>
    <w:p>
      <w:r>
        <w:t>Bundesverwaltungsgericht, 2016-09-29, DE</w:t>
      </w:r>
    </w:p>
    <w:p>
      <w:r>
        <w:rPr>
          <w:b/>
        </w:rPr>
        <w:t xml:space="preserve">Quelle: </w:t>
      </w:r>
      <w:r>
        <w:t>https://mcp.opencaselaw.ch/entscheid/bvger_E-5685_2016</w:t>
      </w:r>
    </w:p>
    <w:p>
      <w:r>
        <w:t>FR: TAF E-5685/2016 du 29 septembre 2016</w:t>
      </w:r>
    </w:p>
    <w:p>
      <w:r>
        <w:t>IT: TAF E-5685/2016 del 29 settembre 2016</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 richtet sich ausschliesslich gegen die verfügte Wegweisung und deren Vollzug. Die Ziffern 1 (Verneinung der Flüchtlingseigenschaft) und 2 (Ablehnung des Asylgesuchs) des Dispositivs der Verfügung vom 16. August 2016 wurden nicht angefochten und sind daher in Rechtskraft erwachsen.</w:t>
      </w:r>
    </w:p>
    <w:p>
      <w:r>
        <w:rPr>
          <w:b/>
        </w:rPr>
        <w:t>E. 4</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(BVGE 2009/50 E. 9 S. 733). Die Wegweisung wurde zu Recht angeordnet.</w:t>
      </w:r>
    </w:p>
    <w:p>
      <w:r>
        <w:rPr>
          <w:b/>
        </w:rPr>
        <w:t>E. 5.1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 Für Wegweisungsvollzugshindernisse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dem Beschwerdeführer komme die Flüchtlingseigenschaft nicht zu. Das flüchtlingsrechtliche Rückschiebungsverbot von Art. 33 Abs. 1 des Abkommens vom 28. Juli 1951 über die Rechtsstellung der Flüchtlinge (FK, SR 0.142.30) und Art. 5 AsylG ist deshalb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Unzulässigkeit des Wegweisungsvollzugs wegen einer drohenden Misshandlung bzw. einer Gefährdung von Leib und Leben wird in der Praxis in der Regel nicht aus dem Blickwinkel von Art. 2 EMRK, sondern aus demjenigen von Art. 3 EMRK geprüft (vgl. zuletzt Urteil des EGMR S.D.M. v. Schweden vom 12. Januar 2016, 8161/07, § 57 m.w.H.). Damit der Geltungsbereich von Art. 3 EMRK eröffnet ist, muss die beim Wegweisungsvollzug drohende unmenschliche Behandlung einen minimalen Schweregrad erreichen. Gemäss der Praxis des Europäischen Gerichtshofes für Menschenrechte (EGMR) sowie jener des UN-Anti-Folterausschusses muss der Beschwerdeführer eine konkrete Gefahr («real risk») nachweisen oder glaubhaft machen, dass ihm im Fall einer Rückschiebung Folter oder unmenschliche Behandlung drohen würde (vgl. Urteil des EGMR Saadi gegen Italien vom 28. Februar 2008, Grosse Kammer 37201/06, §§ 124-127 m.w.H.). Art. 3 EMRK kann dem Wegweisungsvollzug auch dann entgegenstehen, wenn die zu befürchtende Misshandlung nicht von staatlichen Institutionen droht, sondern von Privaten, sofern ausgeschlossen scheint, dass die Behörden einen wirksamen Schutz gewährleisten können (vgl. Urteil des BVGer D-5101/2006 vom 11. Februar 2009, E. 4.2; Meyer-Ladewig, Handkommentar zur EMRK, 3. Aufl., Baden-Baden 2011, Art. 3 N 72).</w:t>
      </w:r>
    </w:p>
    <w:p>
      <w:r>
        <w:rPr>
          <w:b/>
        </w:rPr>
        <w:t>E. 5.2.1</w:t>
      </w:r>
    </w:p>
    <w:p>
      <w:r>
        <w:t>Der Europäische Gerichtshof für Menschenrechte (EGMR) hält in steter Praxis fest, dass die allgemeine Sicherheitslage in Afghanistan für sich genommen nicht die Annahme zulässt, dass eine dorthin zurückkehrende Person einer konkreten Gefahr von Folter oder unmenschlicher Behandlung ausgesetzt wäre (vgl. Urteil des EGMR H. und B. gegen Vereinigtes Königreich vom 9. April 2013, 70073/10 und 44539/11, §§ 92-93, zuletzt bestätigt im Urteil des EGMR M.R.A. und andere gegen Niederlande vom 12. Januar 2016, 46856/07, § 112). In Einklang mit dieser Rechtsprechung geht auch das Bundesverwaltungsgericht nicht davon aus, dass die Wegweisung des Beschwerdeführers nach Afghanistan allein aufgrund der dortigen allgemeinen Sicherheitslage unzulässig wäre.</w:t>
      </w:r>
    </w:p>
    <w:p>
      <w:r>
        <w:rPr>
          <w:b/>
        </w:rPr>
        <w:t>E. 5.2.2</w:t>
      </w:r>
    </w:p>
    <w:p>
      <w:r>
        <w:t>Weder aus den Aussagen des Beschwerdeführers noch aus den Akten ergeben sich im Übrigen individuelle Risikofaktoren, welche erwarten lassen würden, dass er für den Fall einer Ausschaffung nach Afghanistan dort mit beachtlicher Wahrscheinlichkeit einer nach Art. 3 EMRK oder Art. 1 FoK verbotenen Strafe oder Behandlung ausgesetzt wäre. Die Vorinstanz ist zu Recht davon ausgegangen, dass die vom Beschwerdeführer geltend gemachten Drohanrufe nicht asylrelevant waren, zumal sie - die Glaubhaftigkeit des Vorbringens vorausgesetzt - nicht als ernst gemeinte Drohungen und damit als ernsthafte Gefahr zu qualifizieren sind. Das Bundesverwaltungsgericht schliesst sich dieser Einschätzung auch im Hinblick auf die Zulässigkeit des Wegweisungsvollzugs an, insbesondere weil der Beschwerdeführer in den Anhörungen nicht einmal die Urheber der Drohungen bezeichnen konnte (vgl. Akten des Asylverfahrens, A13/19, F 77, 87, 94). Auf Beschwerdeebene wird diese Einschätzung nicht in Frage gestellt, sondern neu vorgebracht, der Beschwerdeführer habe sich noch in seiner Heimat vom Islam distanziert, weshalb sich seine Familie von ihm abgewendet habe; ein Onkel väterlicherseits habe mehrmals gedroht, ihn deshalb umzubringen, und es sei damit zu rechnen, dass er seine Drohungen in die Tat umsetzen werde, wenn der Beschwerdeführer nach Herat zurückkehren würde. Dieses neue Vorbringen ist aus verschiedenen Gründen nicht glaubhaft: Erstens hat der Beschwerdeführer in der BzP und der ausführlichen Anhörung nicht einmal ansatzweise vorgebracht, er habe sich vom Islam distanziert und seine Familie habe sich deshalb von ihm abgewendet. In der Beschwerde werden keine nachvollziehbaren Gründe dargelegt, welche erklären würden, weshalb er trotz mehrfacher Aufforderung, alle Asylgründe zu nennen (vgl. Akten des Asylverfahrens, A5/12, F ; A13/19, F 2, F 136-137), seine Mitwirkungspflichten verletzt (Art. 8 Abs. 1 Bst. c AsylG) und auf die Nennung aller Asylgründe verzichtet haben sollte. Insbesondere überzeugt nicht, dass er in der ausführlichen Anhörung aus Angst vor dem Dolmetscher geschwiegen hat, zumal er dort ausdrücklich nach seinem Befinden gefragt und aufgefordert wurde, sofort mitzuteilen, wenn er sich aus irgend einem Grund nicht wohlfühle (vgl. Akten des Asylverfahrens, A13/19, F 4-5). Zudem wurde er von seiner Vertrauensperson an die Anhörung begleitet und hätte sich daher sofort an sie wenden können, wenn er die Anwesenheit des Dolmetschers als unangenehm empfunden haben sollte. Zweitens steht das Vorbringen, seine Familie habe ihn verstossen, in eindeutigem Widerspruch zu verschiedenen Äusserungen in der Anhörung. So führte er dort glaubhaft aus, er stehe mit seiner Familie in telefonischem Kontakt (vgl. Akten des Asylverfahrens, A13/19, F 8), der Abschied von seiner Familie sei ihm schwer gefallen (vgl. Akten des Asylverfahrens, A13/19, F 7), und sein Vater habe geweint, als er weggegangen sei (vgl. Akten des Asylverfahrens, A13/19, F 124). Diese Schilderungen sind mit dem Beschwerdevorbringen, er sei von der Familie verstossen worden, nicht in Einklang zu bringen. Das Bundesverwaltungsgericht geht daher davon aus, dass der Beschwerdeführer auf Beschwerdeebene einen Sachverhalt zu konstruieren versucht, der sich nicht mit den tatsächlichen Gegebenheiten deckt. Es ist davon auszugehen, dass er bei einer Rückkehr nach Afghanistan auf ein intaktes Familiennetz wird zurückgreifen können, von dem keine Gefahr für ihn ausgeht. Auch auf Beschwerdeebene ist es ihm damit nicht gelungen glaubhaft zu machen, dass ihm bei einer Rückkehr nach Afghanistan die konkrete Gefahr einer Verletzung von Art. 3 EMRK droht. Der Vollzug der Wegweisung ist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5.3.1</w:t>
      </w:r>
    </w:p>
    <w:p>
      <w:r>
        <w:t>Hinsichtlich der Zumutbarkeit des Wegweisungsvollzugs nach Herat hielt das Gericht in BVGE 2011/38 fest, angesichts des Umstandes, dass die dortige Situation verhältnismässig ruhig sei, in der Stadt selbst keine Aktivitäten bewaffneter Gruppen zu verzeichnen seien und sich die Lage ähnlich wie in Kabul präsentiere, könne die Zumutbarkeit des Wegweisungsvollzugs unter begünstigenden Umständen bejaht werden. Aufgrund der konstanten Verschlechterung der Lage über die vergangenen Jahre hinweg und der auch in Herat schwierigen Situation verstehe es sich aber von selbst, dass die bereits in EMARK 2003 Nr. 10 formulierten Bedingungen in jedem Einzelfall sorgfältig geprüft und erfüllt sein müssen. Unabdingbar sei in erster Linie ein soziales Netz, das sich im Hinblick auf die Aufnahme und Wiedereingliederung des Rückkehrers als tragfähig erweise. Ohne Unterstützung durch Familie oder Bekannte würden die schwierigen Lebensverhältnisse unweigerlich in eine existenzielle beziehungsweise lebensbedrohende Situation führen (a.a.O., E. 4.3.3.1 und 4.3.3.2 S. 818 ff.). Diese vorstehend angeführte Praxis hat nach wie vor Gültigkeit (vgl. zuletzt Urteil des BVGer E-8258/2015 vom 21. Januar 2016, E. 6.3.3 m.w.H.), obwohl gegenüber der Lageanalyse im BVGE 2011/38 von einem Anstieg der Kriminalität auszugehen ist. Die jüngeren Berichte - und auch der vom Beschwerdeführer zitierte Bericht der SFH vom 25. August 2015 - lassen nicht den Schluss auf eine Situation allgemeiner Gewalt zu, weshalb entgegen den Ausführungen in der Beschwerdeschrift an der bisherigen Rechtsprechung festzuhalten ist, wonach die Zumutbarkeit des Wegweisungsvollzugs nach Herat unter begünstigenden Umständen zu bejahen ist.</w:t>
      </w:r>
    </w:p>
    <w:p>
      <w:r>
        <w:rPr>
          <w:b/>
        </w:rPr>
        <w:t>E. 5.3.2</w:t>
      </w:r>
    </w:p>
    <w:p>
      <w:r>
        <w:t>Zu prüfen ist deshalb, ob beim Beschwerdeführer - wie von der Vorinstanz angenommen - begünstigende Umstände vorliegen, welche den Vollzug der Wegweisung nach Herat als zumutbar erscheinen lassen. Die Vorinstanz hat diesbezüglich zutreffend festgehalten, beim Beschwerdeführer handle es sich um einen jungen und gesunden Mann mit Schulbildung. Er hat in Herat bis zu seiner Ausreise die Schule B._______ besucht (vgl. Akten des Asylverfahrens, A 5/12, F 1.07, F 1.17.04; A13/19, F 47-48), und es ist davon auszugehen, dass es ihm nach seiner Rückkehr möglich sein wird, diese zu beenden. Entgegen der Beschwerdevorbringen geht das Gericht zudem mit der Vorinstanz davon aus, dass der Beschwerdeführer im Falle einer Rückkehr auf ein tragfähiges soziales und familiäres Netz wird zurückgreifen können (siehe oben, E. 5.2.2).</w:t>
      </w:r>
    </w:p>
    <w:p>
      <w:r>
        <w:rPr>
          <w:b/>
        </w:rPr>
        <w:t>E. 5.3.3</w:t>
      </w:r>
    </w:p>
    <w:p>
      <w:r>
        <w:t>Der Vollzug der Wegweisung erweist sich nach dem Gesagten auch als zumutbar.</w:t>
      </w:r>
    </w:p>
    <w:p>
      <w:r>
        <w:rPr>
          <w:b/>
        </w:rPr>
        <w:t>E. 5.4</w:t>
      </w:r>
    </w:p>
    <w:p>
      <w:r>
        <w:t>Es obliegt dem Beschwerdeführer, sich bei der zuständigen Vertretung seines Heimatstaats die für eine Rückkehr notwendigen Reisedokumente zu beschaffen (Art. 8 Abs. 4 AsylG und dazu BVGE 2008/34 E. 12). Der Vollzug der Wegweisung ist möglich.</w:t>
      </w:r>
    </w:p>
    <w:p>
      <w:r>
        <w:rPr>
          <w:b/>
        </w:rPr>
        <w:t>E. 5.5</w:t>
      </w:r>
    </w:p>
    <w:p>
      <w:r>
        <w:t>Zusammenfassend hat die Vorinstanz den Wegweisungsvollzug zu Recht als zulässig, zumutbar und möglich bezeichnet. Eine Anordnung der vorläufigen Aufnahme fällt somit ausser Betracht (Art. 83 Abs. 1 - 4 AuG).</w:t>
      </w:r>
    </w:p>
    <w:p>
      <w:r>
        <w:rPr>
          <w:b/>
        </w:rPr>
        <w:t>E. 6</w:t>
      </w:r>
    </w:p>
    <w:p>
      <w:r>
        <w:t>Nach dem Gesagten ergibt sich, dass die angefochtene Verfügung Bundesrecht nicht verletzt und auch sonst nicht zu beanstanden ist (Art. 106 Abs. 1 AsylG). Die Beschwerde ist abzuweisen.</w:t>
      </w:r>
    </w:p>
    <w:p>
      <w:r>
        <w:rPr>
          <w:b/>
        </w:rPr>
        <w:t>E. 7.1</w:t>
      </w:r>
    </w:p>
    <w:p>
      <w:r>
        <w:t>Der Beschwerdeführer beantragt die Gewährung der unentgeltlichen Prozessführung gemäss Art. 65 Abs. 1 VwVG sowie die Bestellung eines amtlichen Rechtsbeistands gemäss Art. 110a AsylG. Aus den vorstehenden Erwägungen ergibt sich, dass seine Begehren als aussichtslos zu gelten haben. Damit ist eine der kumulativ zu erfüllenden Voraussetzungen nicht gegeben, weshalb den Gesuchen nicht stattzugeben ist.</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w:t>
      </w:r>
    </w:p>
    <w:p>
      <w:r>
        <w:rPr>
          <w:b/>
        </w:rPr>
        <w:t>E. 7.3</w:t>
      </w:r>
    </w:p>
    <w:p>
      <w:r>
        <w:t>Mit dem vorliegenden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