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E-5685/2011 vom 8. Juni 2012</w:t>
      </w:r>
    </w:p>
    <w:p>
      <w:r>
        <w:t>Bundesverwaltungsgericht, 2012-06-08, DE</w:t>
      </w:r>
    </w:p>
    <w:p>
      <w:r>
        <w:rPr>
          <w:b/>
        </w:rPr>
        <w:t xml:space="preserve">Quelle: </w:t>
      </w:r>
      <w:r>
        <w:t>https://mcp.opencaselaw.ch/entscheid/bvger_E-5685_2011</w:t>
      </w:r>
    </w:p>
    <w:p>
      <w:r>
        <w:t>FR: TAF E-5685/2011 du 8 juin 2012</w:t>
      </w:r>
    </w:p>
    <w:p>
      <w:r>
        <w:t>IT: TAF E-5685/2011 del 8 giugno 2012</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Gemäss Art. 51 Abs. 1 AsylG werden Ehegatten, eingetragene Partnerinnen und Partner von Flüchtlingen sowie ihre minderjährigen Kinder als Flüchtlinge anerkannt und erhalten Asyl, sofern keine besonderen Umstände dagegen sprechen. Besondere Umstände sind beispielsweise anzunehmen, wenn das Familienmitglied Bürger eines anderen Staates als der Flüchtling und die Familie in diesem Staat nicht gefährdet ist, wenn der Flüchtling seinen Status derivativ erworben hat, oder wenn das Familienleben während längerer Zeit nicht gelebt wurde und erkennbar ist, dass die Familienmitglieder nicht den Willen haben, als Familie zusammenzuleben. In jedem Fall bedingt die Zuerkennung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vom anerkannten Flüchtling getrennt wurden (vgl. dazu Entscheidungen und Mitteilungen der Schweizerischen Asylrekurskommission [EMARK] 2006 Nr. 8 E. 3.2). Massgeblicher Zeitpunkt für die Beurteilung ist derjenige des Asyl- beziehungsweise Beschwerdeentscheides.</w:t>
      </w:r>
    </w:p>
    <w:p>
      <w:r>
        <w:rPr>
          <w:b/>
        </w:rPr>
        <w:t>E. 5.1</w:t>
      </w:r>
    </w:p>
    <w:p>
      <w:r>
        <w:t>Das Bundesamt begründete seine Verfügung im Wesentlichen damit, der Beschwerdeführer habe gemäss Aktenlage im Zeitpunkt seiner Ausreise aus dem Sudan nicht mit seiner Tochter zusammengelebt, weshalb das Kriterium der Trennung durch die Flucht nicht erfüllt sei. Zudem hätten die vom Beschwerdeführer zum Beleg des Kindesverhältnisses zwischen ihm und B._______ eingereichten Dokumente sich als Fälschung erwiesen beziehungsweise hätten keinen Beweiswert. Insbesondere sei auch den mit Eingabe vom 19. Januar 2011 eingereichten Dokumenten (Auszug aus dem Geburtsregister, ausgestellt am 26. Dezember 2010, Geburtsschein vom 7. März 1999), die Beweistauglichkeit abzusprechen.</w:t>
      </w:r>
    </w:p>
    <w:p>
      <w:r>
        <w:rPr>
          <w:b/>
        </w:rPr>
        <w:t>E. 5.2</w:t>
      </w:r>
    </w:p>
    <w:p>
      <w:r>
        <w:t>Der Beschwerdeführer stellte sich in seiner Beschwerdeeingabe im Wesentlichen auf den Standpunkt dass das Kindesverhältnis durch die eingereichten Dokumente belegt sei, ihm das Sorgerecht für seine Tochter übertragen worden sei und er sich für diese verantwortlich fühle.</w:t>
      </w:r>
    </w:p>
    <w:p>
      <w:r>
        <w:rPr>
          <w:b/>
        </w:rPr>
        <w:t>E. 5.3</w:t>
      </w:r>
    </w:p>
    <w:p>
      <w:r>
        <w:t>Nach Auffassung des Gerichts hat das BFM zu Recht und mit überzeugender Begründung dargelegt, dass in Anbetracht des Ergebnisses der durch die Schweizerische Botschaft in Khartum durchgeführten Abklärungen sowie des fehlenden Beweiswerts der eingereichten Dokumente, die Identität von B._______ sowie das Kindesverhältnis zwischen dieser und dem Beschwerdeführer nicht erstellt sind. Der Beschwerdeführer vermag die begründeten Zweifel an der Identität seiner angeblichen Tochter weder durch seine Ausführungen im Rahmen des ihm durch die Vorinstanz gewährten rechtlichen Gehörs noch durch seine Vorbringen im Beschwerdeverfahren überzeugend auszuräumen. Insbesondere ist in Übereinstimmung mit dem BFM festzustellen, dass auch die von ihm mit seiner Stellungnahme zur zweiten Botschaftsabklärung eingereichten weiteren Beweismittel (Geburtsschein, Auszug aus Geburtsregister) keinen massgeblichen Beweiswert haben. Ferner hat der Beschwerdeführer die im Beschwerdeverfahren in Aussicht gestellten neuen Beweismittel innert Frist nicht nachgereicht. Nachdem das Familienzusammenführungsgesuch aufgrund des nicht glaubhaft gemachten Kindesverhältnisses zwischen dem Beschwerdeführer und B._______ abzuweisen ist, kann offen gelassen werden, ob die übrigen Voraussetzungen von Art. 51 Abs. 1 und 4 AsylG, namentlich eine Trennung durch die Flucht, gegeben sind.</w:t>
      </w:r>
    </w:p>
    <w:p>
      <w:r>
        <w:rPr>
          <w:b/>
        </w:rPr>
        <w:t>E. 5.4</w:t>
      </w:r>
    </w:p>
    <w:p>
      <w:r>
        <w:t>Zusammenfassend ist festzuhalten, dass das BFM B._______ un­ter dem Aspekt der Familienzusammenführung die Einreise in die Schweiz zu Recht nicht bewilligt hat. Die Beschwerde ist somit abzuweisen.</w:t>
      </w:r>
    </w:p>
    <w:p>
      <w:r>
        <w:rPr>
          <w:b/>
        </w:rPr>
        <w:t>E. 6</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und mit dem in dieser Höhe ein­bezahlten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