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E-5677/2021 vom 1. Februar 2022</w:t>
      </w:r>
    </w:p>
    <w:p>
      <w:r>
        <w:t>Bundesverwaltungsgericht, 2022-02-01, DE</w:t>
      </w:r>
    </w:p>
    <w:p>
      <w:r>
        <w:rPr>
          <w:b/>
        </w:rPr>
        <w:t xml:space="preserve">Quelle: </w:t>
      </w:r>
      <w:r>
        <w:t>https://mcp.opencaselaw.ch/entscheid/bvger_E-5677_2021</w:t>
      </w:r>
    </w:p>
    <w:p>
      <w:r>
        <w:t>FR: TAF E-5677/2021 du 1 février 2022</w:t>
      </w:r>
    </w:p>
    <w:p>
      <w:r>
        <w:t>IT: TAF E-5677/2021 del 1 febbraio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 stimmung eines zweiten Richters oder einer zweiten Richterin zu behan- deln, weil sie sich im Ergebnis als offensichtlich begründet erweist (Art. 111 Bst. e AsylG). Auf die Durchführung eines Schriftenwechsels wurde ver- zichtet (Art. 111a Abs. 1 AsylG).</w:t>
      </w:r>
    </w:p>
    <w:p>
      <w:r>
        <w:t>E-5677/2021 Seite 7</w:t>
      </w:r>
    </w:p>
    <w:p>
      <w:r>
        <w:rPr>
          <w:b/>
        </w:rPr>
        <w:t>E. 4</w:t>
      </w:r>
    </w:p>
    <w:p>
      <w:r>
        <w:t>Nachdem die Vorinstanz den Beschwerdeführer in der angefochtenen Ver- fügung gestützt auf Art. 3 AsylG als Flüchtling anerkannt und dessen vor- läufige Aufnahme in der Schweiz angeordnet hat, ist nachfolgend einzig zu beurteilen, ob das SEM zu Recht zum Schluss gelangt ist, er sei im Sinne von Art. 53 AsylG asylunwürdig und sein Asylgesuch sei deshalb abzu- lehnen.</w:t>
      </w:r>
    </w:p>
    <w:p>
      <w:r>
        <w:rPr>
          <w:b/>
        </w:rPr>
        <w:t>E. 5</w:t>
      </w:r>
    </w:p>
    <w:p>
      <w:r>
        <w:t>Gemäss Art. 53 AsylG wird Flüchtlingen kein Asyl gewährt, wenn sie we- gen verwerflicher Handlungen des Asyls unwürdig sind (Bst. a), sie die in- nere oder die äussere Sicherheit der Schweiz verletzt haben oder gefähr- den (Bst. b) oder gegen sie eine Landesverweisung nach Art. 66a oder 66abis des Schweizerischen Strafgesetzbuchs vom 21. Dezember 1937 (StGB, SR 311.0) oder Art. 49a oder 49abis des Militärstrafgesetzes vom 13. Juni 1927 (MStG, SR 321.0) ausgesprochen wurde (Bst. c). Hat sich ergeben, dass vom Vorliegen eines dieser drei Tatbestände auszugehen ist, ist gemäss ständiger Rechtsprechung des Bundesverwaltungsgerichts in einem weiteren Schritt ausserdem die Verhältnismässigkeit der Rechts- folge eines Asylausschlusses zu prüfen. In Betracht zu ziehen sind dabei gemäss entsprechender Praxis unter anderem das Alter der betreffenden Person im Zeitpunkt der Tatbegehung, allfällige Veränderungen der Le- bensverhältnisse nach der Tat, die Wahrscheinlichkeit der erneuten Bege- hung von Straftaten sowie die Frage, wie lange die Tat bereits zurückliegt, wobei die strafrechtlichen Verjährungsbestimmungen zu berücksichtigen sind (vgl. BVGE 2011/10 E. 6, BVGE 2011/29 E. 9.2.4; bspw. auch Urteile des Bundesverwaltungsgerichts D-4291/2012 vom 26. Juli 2013 E. 5.5, D-4698/2013 vom 23. Juli 2014 E. 6.3, D-1071/2015 vom 19. April 2016 E. 5.5.1; vgl. ausserdem bereits Entscheidungen und Mitteilungen der Schweizerischen Asylrekurskommission [EMARK] 1996 Nr. 40, 2002 Nr. 9 E. 7d). Unter dem Begriff der «verwerflichen Handlungen» gemäss Art. 53 Bst. a AsylG fallen grundsätzlich Delikte, die mit einer Freiheitsstrafe von mehr als drei Jahren bedroht sind und somit dem abstrakten Verbrechensbegriff von Art. 10 Abs. 2 StGB entsprechen (vgl. BVGE 2012/20 E. 4; Urteil des BVGer D-1762/2019 vom 20. Mai 2019 E. 7.1.1). Gemäss asylrechtlicher Rechtsprechung ist es irrelevant, ob die verwerfliche Handlung einen aus- schliesslich gemeinrechtlichen Charakter hat oder als politisches Delikt aufzufassen ist (vgl. BVGE 2011/29 E. 9.2.2; EMARK 2002 Nr. 9 E. 7b).</w:t>
      </w:r>
    </w:p>
    <w:p>
      <w:r>
        <w:t>E-5677/2021 Seite 8</w:t>
      </w:r>
    </w:p>
    <w:p>
      <w:r>
        <w:rPr>
          <w:b/>
        </w:rPr>
        <w:t>E. 6.1</w:t>
      </w:r>
    </w:p>
    <w:p>
      <w:r>
        <w:t>Zur Begründung des ablehnenden Asylentscheids führte die Vorinstanz aus, der Beschwerdeführer erfülle die Flüchtlingseigenschaft, er sei jedoch gestützt auf Art. 53 AsylG asylunwürdig. Sie führte aus, aus den eingereichten Gerichtsdokumenten gehe hervor, dass aufgrund verschiedener Hinweise (komplex dargelegter Sachverhalt, Tatsache, dass türkischer Kassationshof das erst- beziehungsweise zweit- instanzliche Urteil als Folge des anzuwendenden Reuegesetzes aufgeho- ben habe, Strafmass) von einem rechtsstaatlich legitimen Strafverfahren wegen Mitgliedschaft in einer bewaffneten Terrororganisation auszugehen sei. Es sei dem Beschwerdeführer nicht gelungen, glaubhaft darzutun, dass die Verurteilungen und Inhaftierungen auf einem durch Folter erzwun- genen Geständnis beruhten. Die Ausführungen des Beschwerdeführers hinsichtlich der Folterung in einem Kerker in E._______ durch die türki- schen Sicherheitsbehörden in Anwesenheit von Angehörigen des Islami- schen Staates (IS) und der Al-Qaida seien stereotyp und pauschal ausge- fallen. Zudem falle auf, dass diese angebliche Folter gegenüber der Psy- chiaterin mit keinem Wort erwähnt worden sei. Indessen sei mit beachtlicher Wahrscheinlichkeit davon auszugehen, dass der Beschwerdeführer angesichts des ausstehenden Strafvollzugs eine objektiv begründete Furcht habe, bei einer Rückkehr in den Heimatstaat in asylrelevantem Ausmass aus einem in Art. 3 AsylG genannten Grund ver- folgt zu werden. Daher erfülle er die Flüchtlingseigenschaft. Ausgehend vom insgesamt überwiegend glaubhafteren Sachverhalt, der den türkischen Gerichtsdokumenten entnommen werden könne, stehe fest, dass der Beschwerdeführer für die bewaffneten und zugleich gewalt- bereiten (aber nicht als terroristisch zu erachtenden) Organisationen YPG beziehungsweise PKK tätig gewesen sei. Anzeichen für eine Zwangsrek- rutierung fehlten, habe der Beschwerdeführer doch angegeben, der Orga- nisation spontan beigetreten zu sein. Da der Beschwerdeführer gemäss den Gerichtsakten eine Waffenausbildung absolviert und nachfolgend Waf- fen auf sich getragen habe, könne davon ausgegangen werden, dass der Beschwerdeführer für den bewaffneten Kampf ausgebildet worden sei. Zwar lasse sich den eingereichten Gerichtsdokumenten entnehmen, dass der Beschwerdeführer auch den türkischen Behörden gegenüber angege- ben habe, selbst nie an Kämpfen in Syrien und im Irak beteiligt gewesen zu sein, jedoch habe der Beschwerdeführer gegenüber seiner schweizeri-</w:t>
      </w:r>
    </w:p>
    <w:p>
      <w:r>
        <w:t>E-5677/2021 Seite 9 schen psychiatrischen Fachperson angegeben, bei der Befreiung einer be- lagerten Stadt beteiligt gewesen zu sein und dabei auch den Tod von Ka- meraden miterlebt zu haben. Dies deute darauf, dass der Beschwerdefüh- rer entgegen seinen Beteuerungen an Kampfhandlungen teilgenommen habe. Aus welchen Beweggründen der Beschwerdeführer desertiert habe, lasse sich den eingereichten Akten nicht entnehmen. Die Aussagen des Beschwerdeführers gegenüber der Psychiaterin legten aber nahe, dass der Entschluss (optional) auch auf die allgemeine Gewalttätigkeit des Krie- ges und auf den allgemeinen Überlebensinstinkt zurückgeführt werden könne und nicht allein auf eine allfällige grundlegende Änderung der politi- schen Anschauungen beziehungsweise der Identifikation mit dem gewalt- samen Kampf für die kurdische Sache. Im Weiteren habe der Beschwer- deführer beim Attentat auf einen Sicherheitsposten in F._______ innerhalb der YPG beziehungsweise PKK zwar eine untergeordnete Rolle wahrge- nommen; dennoch liessen sich konkrete Aktivitäten nachweisen, die un- mittelbar Organisationszwecken, spezifisch das Bereitstellen von operati- ven Mitteln, gedient hätten (gemäss türkischen Dokumenten Sicherstellung eines Fingerabdrucks des Beschwerdeführers auf einem Antragsformular für ein beim Attentat benutztes Mietfahrzeug, Mithilfe beim Abladen von Proviant, Waffen und Munition). Es könne folglich ein massgeblicher indi- vidueller Tatbeitrag des Beschwerdeführers an einer gewaltsamen Aktivität gewaltbereiter und bewaffneter Organisationen festgestellt werden. Zwar sei der Beschwerdeführer, als er von dem konkreten Plan zum Attentat er- fahren habe, erneut desertiert und habe die türkischen Sicherheitsbehör- den über den geplanten Angriff auf den Polizeiposten telefonisch in Kennt- nis gesetzt, indessen stelle sich, da sich der Beschwerdeführer den Behör- den nicht freiwillig gestellt habe, die Frage, ob diese Meldung eher aus strategischen Gründen im Hinblick auf ein allfälliges Strafverfahren als aus moralischen Gründen erfolgt sei. Zusammenfassend könne festgehalten werden, dass der Beschwerdeführer den gewaltbereiten YPG und PKK während mehr als fünf Jahren aktiv und in verschiedenster Hinsicht (unge- achtet der Konsequenzen für zivile Drittpersonen) unterstützt habe. Trotz allfälliger Bedenken habe der Beschwerdeführer dennoch die Ziele der Or- ganisationen zuverlässig verfolgt. Folglich habe der Beschwerdeführer massgebliche individuelle Tatbeiträge bezüglich verschiedener verwerfli- cher Taten gemäss Art. 53 AsylG geleistet, weshalb er asylunwürdig sei. Ebenso erfülle er die Voraussetzungen gemäss der publizierten Praxis des BVGer in Bezug auf den Asylausschluss, da er sich über einen langen Zeit- raum überdurchschnittlich mit der Vorgehensweise einer gewaltbereiten Organisation identifiziert habe. Schliesslich sei die Verhältnismässigkeit des Asylausschlusses zu bejahen.</w:t>
      </w:r>
    </w:p>
    <w:p>
      <w:r>
        <w:t>E-5677/2021 Seite 10</w:t>
      </w:r>
    </w:p>
    <w:p>
      <w:r>
        <w:rPr>
          <w:b/>
        </w:rPr>
        <w:t>E. 6.2</w:t>
      </w:r>
    </w:p>
    <w:p>
      <w:r>
        <w:t>In der Beschwerde wurde geltend gemacht, dass die Vorinstanz den Sachverhalt weder richtig noch vollständig festgestellt und damit den Un- tersuchungsgrundsatz verletzt habe. Diese formellen Rügen sind vorab zu behandeln, da sie geeignet sein können, eine Kassation der vorinstanzli- chen Verfügung zu bewirken.</w:t>
      </w:r>
    </w:p>
    <w:p>
      <w:r>
        <w:rPr>
          <w:b/>
        </w:rPr>
        <w:t>E. 6.2.1</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 gende Behörde die Vorbringen des Betroffenen tatsächlich hört, sorgfältig und ernsthaft prüft und in der Entscheidfindung berücksichtigt, was sich entsprechend in der Entscheidbegründung niederschlagen muss. Nicht er- forderlich ist, dass sich die Begründung mit allen Parteistandpunkten ein- lässlich auseinandersetzt und jedes einzelne Vorbringen ausdrücklich wi- derlegt (vgl. BVGE 2015/10 E. 3.3, BVGE 2016/9 E. 5.1). Im Asylverfahren gilt – wie in anderen Verwaltungsverfahren – der Untersuchungsgrundsatz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 gemäss darüber Beweis zu führen (vgl. BVGE 2015/10 E. 3.2 m.w.H.).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2016/2 E. 4.3).</w:t>
      </w:r>
    </w:p>
    <w:p>
      <w:r>
        <w:rPr>
          <w:b/>
        </w:rPr>
        <w:t>E. 6.2.2</w:t>
      </w:r>
    </w:p>
    <w:p>
      <w:r>
        <w:t>In der Beschwerde wurde geltend gemacht, dass die Einschätzung des SEM bezüglich unglaubhafter Ausführungen zur erlittenen Folter teils auf aktenwidrigen Annahmen beruhe. Dem ärztlichen Zeugnis vom 19. Februar 2021 sei entgegen den Ausführungen der Vorinstanz zu ent- nehmen, dass der Beschwerdeführer mit seiner Psychiaterin sehr wohl über die erlebte Folter gesprochen habe. Konkret stehe darin, dass der Beschwerdeführer angegeben habe, «2015 für ein Jahr ins Gefängnis ge- kommen zu sein, eine Woche unter schweren Folterungen in Einzelhaft, er habe noch immer Narben von den Schlägen, die Zähne seien ihm gebro- chen worden, es sei manchmal ohnmächtig geworden von den Schlägen»</w:t>
      </w:r>
    </w:p>
    <w:p>
      <w:r>
        <w:t>E-5677/2021 Seite 11 (vgl. S. 1). Im Weiteren sei dem ärztlichen Bericht zu entnehmen, dass der Beschwerdeführer psychisch äusserst schwer belastet sei. Er leide an ei- ner komplexen posttraumatischen Belastungsstörung (PTBS), einer irre- versiblen Änderung der Persönlichkeit nach Extremtraumatisierung, einer dissoziativen Störung und einer mittelgradigen bis schweren depressiven Störung. Diese Diagnosen und die ärztliche Einschätzung müssten zur In- terpretation der laut SEM stereotypen und pauschalen Ausführungen zur Folter hinzugezogen werden. Eine Auseinandersetzung mit der offensicht- lich schweren psychischen Belastung des Beschwerdeführers fehle im Asylentscheid vollkommen. Dies erstaune umso mehr, als der Beschwer- deführer ganz augenscheinlich eine spezielle Art habe, mit dem Gegen- über zu kommunizieren und psychisch auffällig wirke (zum Beispiel Ver- meiden von Blickkontakt, offensichtliche Niedergeschlagenheit). Es be- stünden ernsthafte, durch einen Arztbericht bestätigte Hinweise, dass der Beschwerdeführer Opfer von Folter oder massiver Misshandlung gewor- den sei. Bei solch ernsthaften Hinweisen auf Folter oder massiver Miss- handlung gehe die Beweislast auf das SEM über. Sollte die Vorinstanz nach den obigen Ausführungen und unter Einbezug der ärztlichen Beurtei- lung in die Prüfung der Glaubhaftigkeit der Aussagen weiterhin an der Glaubhaftigkeit der geltend gemachten Vorbringen zweifeln, obliege es derselben, ein Gutachten gemäss Istanbul-Protokoll erstellen zu lassen, welchem gemäss Bundesverwaltungsgericht und internationaler Praxis er- höhter Beweiswert zukomme.</w:t>
      </w:r>
    </w:p>
    <w:p>
      <w:r>
        <w:rPr>
          <w:b/>
        </w:rPr>
        <w:t>E. 6.3</w:t>
      </w:r>
    </w:p>
    <w:p>
      <w:r>
        <w:t>Alle im Detail erwähnten Erwägungen der Vorinstanz hinsichtlich der Frage der Asylunwürdigkeit beruhen auf der Annahme, dass die im Rah- men der Anhörungen geltend gemachten Folterungen des Beschwerdefüh- rers nicht glaubhaft seien. Dabei begnügt sie sich in ihrer Begründung ohne weitere Ausführungen mit der blossen Feststellung, dass die Angaben des Beschwerdeführers stereotyp und pauschal ausgefallen seien, was bereits die Frage der Verletzung der Begründungspflicht aufwirft. Noch schwerer wiegt, dass die Vorinstanz in ihrer weiteren Begründung tatsachenwidrig gegen den Beschwerdeführer ins Feld führt, dass er die angebliche Folter gegenüber seiner Psychiaterin mit keinem Wort erwähnt habe. Vielmehr ist, wie in der Beschwerde zutreffend und detailliert ausgeführt, dass der Beschwerdeführer mit seiner Psychiaterin sehr wohl über die erlebte Folter gesprochen hat. Somit liegt eine unrichtige Feststellung des Sachverhalts beziehungsweise eine falsche Beweiswürdigung durch die beurteilende Behörde vor. Gleichzeitig hat das SEM das ärztliche Zeugnis vom 19. März 2021 bei der Beurteilung der Glaubhaftigkeit der geltend gemachten Folter</w:t>
      </w:r>
    </w:p>
    <w:p>
      <w:r>
        <w:t>E-5677/2021 Seite 12 nicht berücksichtigt, ja, nicht einmal erwähnt, womit auch eine unvollstän- dige Sachverhaltsfeststellung vorliegt. Folglich wurden auch die darin ge- troffenen Diagnosen und die ärztliche Einschätzung zur Interpretation der Ausführungen zur Folter nicht berücksichtigt. Eine Auseinandersetzung mit der offensichtlich schweren psychischen Belastung des Beschwerdefüh- rers im Asylentscheid fehlt gänzlich, obwohl ernsthafte, durch einen Arzt- bericht bestätigte Hinweise vorliegen, dass diese auf Folter oder massiver Misshandlung beruhen, was ein Indiz für die Glaubhaftigkeit der vom SEM in Zweifel gezogenen Vorbringen darstellt. Somit steht fest, dass sowohl eine unrichtige als auch eine unvollständige Sachverhaltsfeststellung vorliegt. Die entsprechenden Rügen erweisen sich als offensichtlich begründet.</w:t>
      </w:r>
    </w:p>
    <w:p>
      <w:r>
        <w:rPr>
          <w:b/>
        </w:rPr>
        <w:t>E. 6.4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Vorliegend stellt insbesondere die gänzliche Nichtberücksichtigung des ärztlichen Zeugnisses vom 19. März 2021 bei der Beurteilung der Glaub- haftigkeit der geltend gemachten Folter einen augenscheinlichen und schwerwiegenden Mangel dar. Es liegt nicht am Bundesverwaltungsge- richt, anstelle der Vorinstanz die notwendigen Schlüsse aus dem Sachver- halt zu ziehen, und es ist auch nicht seine Aufgabe, offensichtliche Ver- säumnisse des SEM auf Beschwerdeebene zu beheben und damit die Vo- rinstanz gleichsam von einer sorgfältigen Verfahrensführung zu entbinden, zumal dem Beschwerdeführer durch ein solches Vorgehen eine Instanz verloren ginge. Somit fällt eine Heilung der festgestellten Mängel in der an- gefochtenen Verfügung nicht in Betracht (vgl. zum Ganzen BVGE 2009/53 E. 7.3).</w:t>
      </w:r>
    </w:p>
    <w:p>
      <w:r>
        <w:rPr>
          <w:b/>
        </w:rPr>
        <w:t>E. 6.5</w:t>
      </w:r>
    </w:p>
    <w:p>
      <w:r>
        <w:t>Bei dieser Sachlage ist die angefochtene Verfügung aus formellen Gründen aufzuheben und die Sache in Anwendung von Art. 61 Abs. 1 VwVG an die Vorinstanz zurückzuweisen. Diese ist anzuweisen, sich bei</w:t>
      </w:r>
    </w:p>
    <w:p>
      <w:r>
        <w:t>E-5677/2021 Seite 13 der (erneuten) Prüfung der Glaubhaftigkeit der geltend gemachten Folte- rungen mit der gemäss ärztlichem Zeugnis vom 19. Februar 2021 beste- henden schweren psychischen Belastung des Beschwerdeführers ausei- nanderzusetzen und allenfalls weitere erforderliche Abklärungen vorzu- nehmen. Im Rahmen des vorinstanzlichen Verfahrens wird die Vorinstanz sich darüber hinaus auch mit sämtlichen übrigen, infolge des vorliegenden Verfahrensausgangs offen gelassenen Rügen des Beschwerdeführers vom 29. Dezember 2021 einlässlich zu befassen haben.</w:t>
      </w:r>
    </w:p>
    <w:p>
      <w:r>
        <w:rPr>
          <w:b/>
        </w:rPr>
        <w:t>E. 7</w:t>
      </w:r>
    </w:p>
    <w:p>
      <w:r>
        <w:t>Die Beschwerde ist gutzuheissen. Die vorinstanzliche Verfügung vom 3. Dezember 2021 ist aufzuheben und die Sache im Sinne der Erwägun- gen zur Neubeurteilung an die Vorinstanz zurückzuweisen.</w:t>
      </w:r>
    </w:p>
    <w:p>
      <w:r>
        <w:rPr>
          <w:b/>
        </w:rPr>
        <w:t>E. 8.1</w:t>
      </w:r>
    </w:p>
    <w:p>
      <w:r>
        <w:t>Bei diesem Ausgang des Verfahrens sind keine Verfahrenskosten zu erheben (vgl. Art. 63 Abs. 1 VwVG).</w:t>
      </w:r>
    </w:p>
    <w:p>
      <w:r>
        <w:rPr>
          <w:b/>
        </w:rPr>
        <w:t>E. 8.2</w:t>
      </w:r>
    </w:p>
    <w:p>
      <w:r>
        <w:t>Dem vertretenen Beschwerdeführer ist angesichts seines Obsiegens in Anwendung von Art. 64 VwVG und Art. 7 Abs. 1 VGKE eine Entschädi- gung für die ihm notwendigerweise erwachsenen Parteikosten zuzuspre- chen. Entschädigungspflichtig ist nur der notwendige Aufwand. Im mit der Beschwerde eingereichten Kostennote vom 29. Dezember 2021 wird ein zeitlicher Aufwand von insgesamt 11,5 Stunden zu einem Stundenansatz von Fr. 200.- und ein Honorar von Fr. 2’225.- ausgewiesen. Hierzu ist fest- zuhalten, dass der zeitliche Aufwand von 8 Stunden für das Verfassen der Beschwerde als zu hoch erscheint und auf 4 Stunden reduziert wird. Dies ergibt eine vom SEM zu entrichtende Parteientschädigung von insgesamt Fr. 1'520.- (inklusive Barauslagen).</w:t>
      </w:r>
    </w:p>
    <w:p>
      <w:r>
        <w:t>(Dispositiv nächste Seite)</w:t>
      </w:r>
    </w:p>
    <w:p>
      <w:r>
        <w:t>E-5677/2021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