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E-5675/2019 vom 16. Januar 2020</w:t>
      </w:r>
    </w:p>
    <w:p>
      <w:r>
        <w:t>Bundesverwaltungsgericht, 2020-01-16, DE</w:t>
      </w:r>
    </w:p>
    <w:p>
      <w:r>
        <w:rPr>
          <w:b/>
        </w:rPr>
        <w:t xml:space="preserve">Quelle: </w:t>
      </w:r>
      <w:r>
        <w:t>https://mcp.opencaselaw.ch/entscheid/bvger_E-5675_2019</w:t>
      </w:r>
    </w:p>
    <w:p>
      <w:r>
        <w:t>FR: TAF E-5675/2019 du 16 janvier 2020</w:t>
      </w:r>
    </w:p>
    <w:p>
      <w:r>
        <w:t>IT: TAF E-5675/2019 del 16 gennaio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(aArt. 108 Abs. 1 AsylG sowie Art. 52 Abs. 1 VwVG) ist daher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wenn Gründe nach Art. 1 Bst. C Ziff. 1-6 des Abkommens vom 28. Juli 1951 über die Rechtstellung der Flüchtlinge (FK, SR 0.142.30) vorliegen.</w:t>
      </w:r>
    </w:p>
    <w:p>
      <w:r>
        <w:rPr>
          <w:b/>
        </w:rPr>
        <w:t>E. 4.1.1</w:t>
      </w:r>
    </w:p>
    <w:p>
      <w:r>
        <w:t>Die in der FK normierten sogenannten "Beendigungsklauseln" definieren die Umstände, nach denen ein Flüchtling eben diesen Status verliert.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Herkunftsland.</w:t>
      </w:r>
    </w:p>
    <w:p>
      <w:r>
        <w:rPr>
          <w:b/>
        </w:rPr>
        <w:t>E. 4.1.2</w:t>
      </w:r>
    </w:p>
    <w:p>
      <w:r>
        <w:t>Gemäss Art. 1 Bst. C Ziff. 1 FK fällt eine Person dann nicht mehr unter den Geltungsbereich der Flüchtlingskonvention, wenn sie sich freiwillig wieder unter den Schutz des Landes gestellt hat, dessen Staatsangehörigkeit sie besitzt.</w:t>
      </w:r>
    </w:p>
    <w:p>
      <w:r>
        <w:rPr>
          <w:b/>
        </w:rPr>
        <w:t>E. 4.1.3</w:t>
      </w:r>
    </w:p>
    <w:p>
      <w:r>
        <w:t>Die Aberkennung der Flüchtlingseigenschaft gestützt auf Art. 63 Abs. 1 Bst. b AsylG i.V.m. Art. 1 Bst. C Ziff. 1 FK ist gemäss Lehre und Rechtsprechung (BVGE 2010/17 E. 5.2 ff.) dann anzuordnen, wenn die folgenden drei Voraussetzungen kumulativ erfüllt sind: Die Handlung der die Flüchtlingseigenschaft innehabenden Person muss freiwillig erfolgt sein. Die als Flüchtling anerkannte Person muss in der Absicht gehandelt haben, sich dem Schutz des Heimatstaates zu unterstellen.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w:t>
      </w:r>
    </w:p>
    <w:p>
      <w:r>
        <w:rPr>
          <w:b/>
        </w:rPr>
        <w:t>E. 4.2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Zwangs erfolgte. Diese Regelungen betreffen sowohl anerkannte Flüchtlinge mit Asyl als auch Flüchtlinge mit einer vorläufigen Aufnahme.</w:t>
      </w:r>
    </w:p>
    <w:p>
      <w:r>
        <w:rPr>
          <w:b/>
        </w:rPr>
        <w:t>E. 4.3</w:t>
      </w:r>
    </w:p>
    <w:p>
      <w:r>
        <w:t>Die Vorinstanz legt diese neue Bestimmung dahingehend aus, dass der Gesetzgeber mit der Einführung von Art. 63 Abs. 1bis AsylG bewusst darauf verzichtet habe, die Aberkennung der Flüchtlingseigenschaft bei Heimatreisen von den Kriterien der beabsichtigen Unterschutzstellung sowie der effektiven Schutzgewährung abhängig zu machen. Stehe nach aktueller Gesetzeslage fest, dass eine als Flüchtling anerkannte Person in ihren Heimatstaat gereist sei, werde von der Aberkennung der Flüchtlingseigenschaft einzig dann noch abgesehen, wenn diese die Reise aufgrund eines Zwanges unternommen habe. Der Nachweis eines solchen Zwanges sei im Sinne einer Umkehr der Beweislast von der heimreisenden Person und nicht von der verfügenden Behörde zu erbringen (vgl. Handbuch Asyl und Rückkehr Artikel E6 "Die Beendigung des Asyls und die Aberkennung der Flüchtlingseigenschaft" Ziff. 1.2.1.2.).</w:t>
      </w:r>
    </w:p>
    <w:p>
      <w:r>
        <w:rPr>
          <w:b/>
        </w:rPr>
        <w:t>E. 4.4</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w:t>
      </w:r>
    </w:p>
    <w:p>
      <w:r>
        <w:rPr>
          <w:b/>
        </w:rPr>
        <w:t>E. 4.5</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 Eine Aberkennung der Flüchtlingseigenschaft rechtfertigt sich vorliegend auch mit Blick auf die weniger restriktive Norm von Art. 63 Abs. 1 AsylG.</w:t>
      </w:r>
    </w:p>
    <w:p>
      <w:r>
        <w:rPr>
          <w:b/>
        </w:rPr>
        <w:t>E. 5.1</w:t>
      </w:r>
    </w:p>
    <w:p>
      <w:r>
        <w:t>Zunächst ist festzuhalten, dass die Beschwerdeführerin auch auf Beschwerdeebene nicht bestreitet, vom (...) bis zum (...) in ihrem Heimatstaat geweilt zu haben. Laut dem sich bei den Akten befindlichen "Travel Document" der VR China, das am (...) vom Generalkonsulat der VR China in E._______ ausgestellt wurde, und dem sich darin befindlichen Einreisestempel reiste die Beschwerdeführerin legal in ihren Heimatstaat ein und stand dabei sowie im Rahmen der Dokumentenausstellung zweifelsohne im Kontakt mit den heimatlichen Behörden (act. C1/16).</w:t>
      </w:r>
    </w:p>
    <w:p>
      <w:r>
        <w:rPr>
          <w:b/>
        </w:rPr>
        <w:t>E. 5.2</w:t>
      </w:r>
    </w:p>
    <w:p>
      <w:r>
        <w:t>Sodann ist festzuhalten, dass die Beschwerdeführerin laut eigenen Angaben während ihrer gesamten Anwesenheitsdauer in der VR China regelmässigen behördlichen Kontrollen - in der Form einer wöchentlichen persönlichen Vorsprache bei der zuständigen Behörde - pflegte. Angesichts des regen Austauschs mit den Behörden ihres Heimatstaates, der im Zeitpunkt der Passausstellung einen Anfang nahm, ist ausgeschlossen, dass der Aufenthalt in ihrem Heimatstaat heimlich oder unentdeckt erfolgt wäre. Zudem kann in Anbetracht des behördlichen Kontakts davon ausgegangen werden, dass eine allfällige Verfolgungssituation, aufgrund derer die Beschwerdeführerin allenfalls des Schutzes im Sinne der FK bedürfte, nicht weiterbesteht. Überdies ist anzumerken, dass die überaus lange Aufenthaltsdauer von rund sechs Monaten in Kombination mit dem Behördenkontakt eindeutig als Unterschutzstellung zu werten ist. Daran vermag auch das nicht näher konkretisierte und nicht belegte Vorbringen der Beschwerdeführerin, aus dem Familienbüchlein ihres Heimatstaates gelöscht worden zu sein, nichts zu ändern. Insbesondere erscheint es angesichts der bei der Wiedereinreise in die Schweiz vorliegenden gültigen chinesischen Identitätspapiere abwegig, dass der Beschwerdeführerin tatsächlich die chinesische Staatsangehörigkeit aberkannt worden sein soll.</w:t>
      </w:r>
    </w:p>
    <w:p>
      <w:r>
        <w:rPr>
          <w:b/>
        </w:rPr>
        <w:t>E. 5.3</w:t>
      </w:r>
    </w:p>
    <w:p>
      <w:r>
        <w:t>Der Beschwerdeeinwand, wonach sie sich aufgrund der Erkrankung ihres Vaters zur Reise in die VR China bewegen liess, schliesst weder die Freiwilligkeit der Unterschutzstellung im Sinne von Art. 63 Abs. 1 AsylG aus noch stellt dies einen "Zwang" im Sinne von Art. 63 Abs. 1bis AsylG dar. Zwar wird an dieser Stelle nicht verkannt, dass es für Flüchtlinge schwierig ist, über Jahre hinweg getrennt von nahen Familienangehörigen zu leben. Gleichwohl ist daran zu erinnern, dass der Schutz desjenigen Staates, der einer Person den Flüchtlingsstatus gewährt, ein subsidiärer ist. Zusammenfassend ist festzuhalten, dass vom Vorliegen der Voraussetzungen für die Aberkennung der Flüchtlingseigenschaft gemäss Art. 63 Abs. 1 Bst. b AsylG i.V.m. Art. 1 Bst. C Ziff. 1 FK auszugehen ist.</w:t>
      </w:r>
    </w:p>
    <w:p>
      <w:r>
        <w:rPr>
          <w:b/>
        </w:rPr>
        <w:t>E. 6</w:t>
      </w:r>
    </w:p>
    <w:p>
      <w:r>
        <w:t>Aus diesen Erwägungen ergibt sich, dass die angefochtene Verfügung Bundesrecht nicht verletzt und auch sonst nicht zu beanstanden ist (Art. 106 AsylG). Die Beschwerde ist demnach abzuweisen.</w:t>
      </w:r>
    </w:p>
    <w:p>
      <w:r>
        <w:rPr>
          <w:b/>
        </w:rPr>
        <w:t>E. 7</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