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E-5673/2006 vom 25. August 2011</w:t>
      </w:r>
    </w:p>
    <w:p>
      <w:r>
        <w:t>Bundesverwaltungsgericht, 2011-08-25, FR</w:t>
      </w:r>
    </w:p>
    <w:p>
      <w:r>
        <w:rPr>
          <w:b/>
        </w:rPr>
        <w:t xml:space="preserve">Quelle: </w:t>
      </w:r>
      <w:r>
        <w:t>https://mcp.opencaselaw.ch/entscheid/bvger_E-5673_2006</w:t>
      </w:r>
    </w:p>
    <w:p>
      <w:r>
        <w:t>FR: TAF E-5673/2006 du 25 août 2011</w:t>
      </w:r>
    </w:p>
    <w:p>
      <w:r>
        <w:t>IT: TAF E-5673/2006 del 25 agosto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recours qui sont pendants devant la Commission au 31 décembre 2006 sont traités par le Tribunal dans la mesure où il est compétent (art. 53 al. 2 phr. 1 LTAF).</w:t>
      </w:r>
    </w:p>
    <w:p>
      <w:r>
        <w:rPr>
          <w:b/>
        </w:rPr>
        <w:t>E. 1.3</w:t>
      </w:r>
    </w:p>
    <w:p>
      <w:r>
        <w:t>Le nouveau droit de procédure s'applique (art. 53 al. 2 phr. 2 LTAF).</w:t>
      </w:r>
    </w:p>
    <w:p>
      <w:r>
        <w:rPr>
          <w:b/>
        </w:rPr>
        <w:t>E. 1.4</w:t>
      </w:r>
    </w:p>
    <w:p>
      <w:r>
        <w:t>La recourante a qualité pour recourir (art. 48 al. 1 PA, applicable par renvoi de l'art. 6 LAsi). Présenté dans la forme (art. 52 PA) et le délai prescrits par la loi (art. 50 PA), le recours est recevable.</w:t>
      </w:r>
    </w:p>
    <w:p>
      <w:r>
        <w:rPr>
          <w:b/>
        </w:rPr>
        <w:t>E. 2</w:t>
      </w:r>
    </w:p>
    <w:p>
      <w:r>
        <w:t>Le Tribunal examine d'office le droit public fédéral, les constatations de fait ainsi que l'opportunité (cf. art. 106 LAsi) sans être lié par les motifs que les parties invoquent (cf. art. 62 al. 4 PA) ou par les considérants de la décision attaquée (cf. ATAF 2009/5 consid. 1.2 p. 798). Il peut donc admettre le recours pour d'autres raisons que celles avancées par la partie ou, au contraire, confirmer et compléter la décision de l'instance inférieure sur la base d'autres motifs (substitution de motifs) que ceux retenus par l'autorité intimée (cf. ATAF 2007/41 consid. 2 p. 529s.).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Selon la jurisprudence de la Commission, laquelle est toujours d'actualité, et la doctrine (cf. JICRA 2000 n°9, consid. 5a p.78 ; 1998 n°4 consid. 5d p.27, 1998 n°18 consid. 9 p. 161s. ; 1997 n°10 p.73ss ; 1996 n° 18 p. 170ss ; n° 30 p. 292ss ; 1994 n° 5 p. 47 ; 1993 n° 11 p.67 et n° 21 p.134 ; Walter Kälin, Grundriss des Asylverfahrens, Basel/Francfort-sur-le Main 1990, p.142, 302 et 312), l'expression "craindre à juste titre une persécution" comprend un aspect subjectif et un aspect objectif. En effet, le seul fait qu'une personne se sente anxieuse et éprouve quelque crainte à retourner dans son pays d'origine (aspect subjectif) ne suffit pas. Une crainte subjective de persécution devient objectivement fondée si, au vu d'une situation politique déterminée, elle serait ressentie par une personne normalement douée de sensibilité et si elle repose sur des indices qui démontrent qu'elle encourt un danger imminent de persécution (aspect objectif). Ces indices peuvent ressortir, par exemple, du contexte de vie familial du requérant, de son appartenance à un groupe social, politique ou racial ; de sa religion ou de sa nationalité, de ses expériences personnelles ou encore de persécutions déjà subies. Ils peuvent également consister dans une vulnérabilité particulière tenant à sa personne, voire dans des préjudices sérieux infligés à des proches (cf. JICRA 1994 n° 5 op. cité ; n° 7 p. 132ss ; n° 24 p. 177ss ; 1993 n° 39 p. 280ss). La crainte fondée de persécution n'est en outre déterminante au sens de l'art. 3 LAsi que lorsque le requérant établit ou rend hautement vraisemblable qu'il pourrait être victime de persécutions avec une haute probabilité et dans un proche avenir. Une simple éventualité de persécution ne suffit pas. Des indices concrets et sérieux doivent faire apparaître ces persécutions comme imminentes et réalistes. Ainsi, une crainte de persécution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w:t>
      </w:r>
    </w:p>
    <w:p>
      <w:r>
        <w:rPr>
          <w:b/>
        </w:rPr>
        <w:t>E. 4.1</w:t>
      </w:r>
    </w:p>
    <w:p>
      <w:r>
        <w:t>En l'occurrence, la recourante, qui se dit membre du "Royaume de l'Union pour le Congo", a allégué avoir été détenue durant deux jours au mois de juillet 1997 et avoir été violée par deux militaires. Ayant participé à plusieurs manifestations depuis lors, elle aurait toujours pu fuir lors des interventions des forces de l'ordre alors que son frère et son oncle auraient été arrêtés. Elle aurait poursuivi ses études mais aurait été recalée aux examens universitaires de 2004. Elle aurait finalement appris par une connaissance le 8 août 2005 qu'elle était recherchée par les autorités congolaises.</w:t>
      </w:r>
    </w:p>
    <w:p>
      <w:r>
        <w:rPr>
          <w:b/>
        </w:rPr>
        <w:t>E. 4.2</w:t>
      </w:r>
    </w:p>
    <w:p>
      <w:r>
        <w:t>Le Tribunal retient, tout d'abord, que la recourante, invitée à s'exprimer sur les invraisemblances contenues dans ses déclarations, s'est limitée à répéter les éléments de son récit, argumentant qu'elle avait suffisamment explicité, durant ses auditions, les motifs qui l'avaient conduites au départ de son pays ainsi que les circonstances dans lesquelles les faits s'étaient déroulés, y compris les conditions de son arrestation. Elle n'a toutefois fourni aucun détail supplémentaire sur ces différents éléments, justifiant certaines incohérences par des imprécisions de traduction ainsi que par le traumatisme subi. A cet égard, le Tribunal retient que les procès-verbaux des auditions ont été relus à l'intéressée, qu'elle a confirmé par l'apposition de sa signature que leur contenu correspondait à ses déclarations et qu'elle avait bien compris l'interprète (cf. pv. de l'audition sommaire p. 6, pv. de l'audition fédérale p.2 et 6). De plus, la représentante de l'oeuvre d'entraide, présente afin d'attester que l'audition sur les motifs d'asile s'est déroulée de manière correcte, n'a formulé aucune remarque relative à d'éventuelles difficultés de traduction. Cet argument ne saurait dès lors être admis, pas plus que celui du traumatisme subi qui ne saurait à lui seul justifier l'ensemble des invraisemblances retenues. Les déclarations de l'intéressée, qui ne sont que de simples affirmations, ne remplissent pas les conditions posées à l'art. 7 LAsi dans la mesure où elles sont invraisemblables. Elles portent notamment sur les circonstances dans lesquelles l'intéressée aurait été arrêtée en 1997 et sur les deux jours qu'elle aurait passés en détention; la recourante ne les ayant décrites que de manière sommaire, sans détails ni précisions. Une telle description ne peut de ce fait correspondre à un réel vécu. Les invraisemblances portent également sur les circonstances dans lesquelles la recourante aurait réussi à s'enfuir avec une certaine facilité par le biais de l'aide gracieuse d'un militaire. De même, les explications de l'intéressée sur sa manière d'échapper, à plusieurs reprises, aux interventions des forces de l'ordre lors des différentes manifestations ultérieures, auxquelles elle aurait participé, sont indigentes.</w:t>
      </w:r>
    </w:p>
    <w:p>
      <w:r>
        <w:rPr>
          <w:b/>
        </w:rPr>
        <w:t>E. 4.3</w:t>
      </w:r>
    </w:p>
    <w:p>
      <w:r>
        <w:t>S'agissant ensuite de l'arrestation de la recourante ainsi que de sa détention de deux jours, événements intervenus en 1997, le Tribunal retient, à l'instar de l'ODM, que ces événements ne se situent pas dans un rapport de causalité temporel suffisamment étroit avec son départ du pays en 2005, de sorte que ces éléments ne sauraient être déterminants en matière d'asile. Quant au fait que la recourante souffre d'un syndrome de stress post-traumatique, attesté par différents rapports médicaux qu'elle aurait développé suite aux mauvais traitements subis durant cette détention, rien ne prouve qu'elle ait effectivement vécu ces événements dans le contexte tel que présenté. Sans doute la recourante a-t-elle vécu un traumatisme dans son pays d'origine ; néanmoins, il s'est très probablement déroulé dans des circonstances différentes de celles présentées dans le cadre de la demande d'asile.</w:t>
      </w:r>
    </w:p>
    <w:p>
      <w:r>
        <w:rPr>
          <w:b/>
        </w:rPr>
        <w:t>E. 4.4</w:t>
      </w:r>
    </w:p>
    <w:p>
      <w:r>
        <w:t>Par ailleurs, le fait d'avoir été recalée à des examens universitaires ne saurait pas non plus constituer une persécution au sens de l'art. 3 LAsi. En effet, rien dans le dossier ne démontre que cet échec ait effectivement été la conséquence de la participation de la recourante à la manifestation du mois de juin 2004. Et, même à admettre que cela ait été le cas, une telle mesure ne saurait être considéré comme un préjudice d'une intensité suffisante (cf. JICRA 2000 n° 2 consid. 8 p. 20ss).</w:t>
      </w:r>
    </w:p>
    <w:p>
      <w:r>
        <w:rPr>
          <w:b/>
        </w:rPr>
        <w:t>E. 4.5</w:t>
      </w:r>
    </w:p>
    <w:p>
      <w:r>
        <w:t>De même, les déclarations de l'intéressée ne permettent pas non plus d'étayer une crainte fondée de persécution en cas de retour au Congo (Kinshasa). A cet égard, le Tribunal rappelle que, de pratique constante, il considère que le fait d'avoir appris un événement par des tiers ne suffit pas pour établir l'existence d'une crainte fondée de future persécution (cf. dans ce sens Alberto Achermann/Christina Hausammann, Les notions d'asile et de réfugié en droit suisse, in : Walter Kälin (éd), Droit des réfugiés, Enseignement de 3e cycle de droit 1990, Fribourg 1991, p. 44). L'intéressée s'est, de plus, montrée relativement vague et imprécise sur les circonstances dans lesquelles elle aurait eu connaissance qu'elle était recherchée. D'ailleurs, la production d'un mandat de comparution et d'un mandat d'amener, sous la forme de copies et datant du mois de mai 2005, ne sauraient avoir de valeur probante puisque l'intéressée a déclaré être recherchée après la manifestation du 30 juin 2005. En outre, il sied d'observer que, malgré sa détention de deux jours et les mauvais traitements qu'elle aurait subis en 1997, la recourante a repris ses activités politiques et a continué à participer à plusieurs manifestations, ce qui ne correspond pas au comportement d'une personne qui se sent menacée. Elle a également pu s'inscrire pour commencer ses études à l'Université de Kinshasa et vivre chez sa mère durant plusieurs années sans y rencontrer de difficultés. Or, comme relevé à juste titre par l'ODM dans sa détermination du 16 novembre 2006, si l'intéressée était effectivement recherchée par les autorités congolaises depuis les premiers préjudices allégués en 1997, celles-ci auraient déployé davantage de moyens à son encontre. Si elles désiraient véritablement arrêter l'intéressée, elles l'auraient attendue à son domicile, ceci d'autant plus que son adresse était connue et que des membres de sa famille auraient également été en détention, ou, au moins, se seraient rendues à l'université ou sur son lieu de travail pour tenter de la retrouver. Il est aussi étonnant que l'intéressée ait pu transiter par l'aéroport de Kinshasa sans rencontrer de difficulté avec les autorités congolaises, cet itinéraire n'étant pas non plus le plus prudent pour une personne qui se sait recherchée par les autorités de son pays. Il convient, par ailleurs, de remarquer que la seule affiliation à un parti politique ne suffit pas à entraîner un risque de persécution (cf. UK Home Office, Operational Guidance Note, Democratic Republic of Congo, août 2007, p. 7), de sorte qu'il y a lieu de considérer que la simple affiliation de l'intéressée au "Royaume d'Union du Congo" et à la "Mutualité Bakongo" ne saurait suffire à établir l'existence d'une crainte fondée de persécution. Les documents déposés afin d'établir les activités de la recourante en faveur du "Royaume d'Union du Congo", à supposer qu'ils soient authentiques, question qui peut demeurer ouverte, ne sont dès lors pas de nature à démontrer sa réelle crainte de persécution en cas de retour. S'agissant des autres moyens de preuve produits, force est de constater qu'au vu du risque de collusion évident, la lettre de la mère de la recourante ne saurait avoir une quelconque valeur probante et que celle de l'abbé ne contient aucun élément relatif aux persécutions alléguées.</w:t>
      </w:r>
    </w:p>
    <w:p>
      <w:r>
        <w:rPr>
          <w:b/>
        </w:rPr>
        <w:t>E. 4.6</w:t>
      </w:r>
    </w:p>
    <w:p>
      <w:r>
        <w:t>Force est donc de constater que le recours ne contient ni arguments ni moyens de preuve susceptibles de remettre en cause le bien-fondé de la décision querellée. De même, le mandat de comparution et d'amener, produits tardivement suite à la décision incidente du 18 août 2009 octroyant le droit d'être entendu sur les invraisemblances alors que ces documents datent de 2005, ne sauraient avoir de valeur probante dans la mesure où il ne s'agit que de copies. Pour le surplus, il est notoire qu'il est aisé d'obtenir de tels documents par complaisance.</w:t>
      </w:r>
    </w:p>
    <w:p>
      <w:r>
        <w:rPr>
          <w:b/>
        </w:rPr>
        <w:t>E. 4.7</w:t>
      </w:r>
    </w:p>
    <w:p>
      <w:r>
        <w:t>Au vu de ce qui précède, il faut conclure que la recourante n'a pas démontré que les exigences requises pour la reconnaissance de la qualité de réfugié et l'octroi de l'asile étaient remplies. Celle-ci ne peut pas non plus se prévaloir d'une crainte fondée de subir de sérieux préjudices, pour des motifs politiques ou analogues, en cas de renvoi dans son pays d'origine, au sens de l'art. 3 LAsi.</w:t>
      </w:r>
    </w:p>
    <w:p>
      <w:r>
        <w:rPr>
          <w:b/>
        </w:rPr>
        <w:t>E. 5</w:t>
      </w:r>
    </w:p>
    <w:p>
      <w:r>
        <w:t>Il s'ensuit que le recours, en tant qu'il conclut à la reconnaissance de la qualité de réfugié et à l'octroi de l'asile, doit être rejeté.</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OA1,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6.2</w:t>
      </w:r>
    </w:p>
    <w:p>
      <w:r>
        <w:t>Dans le cas d'espèce, la recourante et son fils sont au bénéfice d'une autorisation de séjour, de sorte que le renvoi prononcé par l'ODM est devenu caduc et le recours, en tant qu'il conteste la décision l'exécution de cette mesure, sans objet.</w:t>
      </w:r>
    </w:p>
    <w:p>
      <w:r>
        <w:rPr>
          <w:b/>
        </w:rPr>
        <w:t>E. 7.1</w:t>
      </w:r>
    </w:p>
    <w:p>
      <w:r>
        <w:t>La recourante étant revenue à meilleure fortune, il y a lieu de rejeter la demande d'assistance judiciaire partielle (cf. art. 64 al. 1 PA). Des frais de procédure, réduits de moitié, doivent donc être mis à sa charge conformément à l'art. 63 al. 1 PA et 2 et 3 let. b du règlement du 21 février 2008 concernant les frais, dépens et indemnités fixés par le Tribunal administratif fédéral (FITAF, RS 173.320.2).</w:t>
      </w:r>
    </w:p>
    <w:p>
      <w:r>
        <w:rPr>
          <w:b/>
        </w:rPr>
        <w:t>E. 7.2</w:t>
      </w:r>
    </w:p>
    <w:p>
      <w:r>
        <w:t>Lorsque la procédure est devenue sans objet sans que cela soit imputable aux parties, les dépens sont fixés au vu de l'état des faits avant la survenance du motif de liquidation (art. 5 et 15 FITAF). En l'espèce, après un examen prima facie, il appert - au vu notamment de l'état de santé de la recourante (cf. les divers documents médicaux figurant au dossier), cumulé au fait qu'elle a maintenant un enfant de quelques mois - que l'ODM aurait très probablement été invité à mettre l'intéressée et son fils au bénéfice d'une admission provisoire en raison du caractère inexigible de l'exécution de leur renvoi. Le recours aurait, par conséquent, dû être admis sur ce point.</w:t>
      </w:r>
    </w:p>
    <w:p>
      <w:r>
        <w:rPr>
          <w:b/>
        </w:rPr>
        <w:t>E. 7.3</w:t>
      </w:r>
    </w:p>
    <w:p>
      <w:r>
        <w:t>La recourante a, dès lors, droit à des dépens réduits de moitié pour les frais nécessaires et relativement élevés causés par le litige (cf. art. 64 al. 1 PA, 7 al. 2 et 15 FITAF). En l'occurrence, le Tribunal alloue, en l'absence de tout décompte de prestations, un montant de Fr. 600.- (TVA comprise) à la recourante, à titre de dépens, compte tenu du fait qu'elle a été représentée par un mandataire non professionnel durant la majeure partie de sa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