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E-5665/2015 vom 1. Oktober 2015</w:t>
      </w:r>
    </w:p>
    <w:p>
      <w:r>
        <w:t>Bundesverwaltungsgericht, 2015-10-01, DE</w:t>
      </w:r>
    </w:p>
    <w:p>
      <w:r>
        <w:rPr>
          <w:b/>
        </w:rPr>
        <w:t xml:space="preserve">Quelle: </w:t>
      </w:r>
      <w:r>
        <w:t>https://mcp.opencaselaw.ch/entscheid/bvger_E-5665_2015</w:t>
      </w:r>
    </w:p>
    <w:p>
      <w:r>
        <w:t>FR: TAF E-5665/2015 du 1 octobre 2015</w:t>
      </w:r>
    </w:p>
    <w:p>
      <w:r>
        <w:t>IT: TAF E-5665/2015 del 1 ottobre 2015</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1.2</w:t>
      </w:r>
    </w:p>
    <w:p>
      <w:r>
        <w:t>Das Bundesverwaltungsgericht überprüft die angefochtene Verfügung auf Verletzung von Bundesrecht und unrichtige oder unvollständige Feststellung des rechtserheblichen Sachverhalts hin (Art. 106 Abs. 1 AsylG).</w:t>
      </w:r>
    </w:p>
    <w:p>
      <w:r>
        <w:rPr>
          <w:b/>
        </w:rPr>
        <w:t>E. 1.3</w:t>
      </w:r>
    </w:p>
    <w:p>
      <w:r>
        <w:t>Die Beschwerde erweist sich im Ergebnis als offensichtlich unbegründet und ist im Verfahren einzelrichterlicher Zuständigkeit mit Zustimmung eines zweiten Richters (Art. 111 Bst. e AsylG) ohne Weiterungen und mit summarischer Begründung zu behandeln (Art. 111a Abs. 1 und 2 AsylG).</w:t>
      </w:r>
    </w:p>
    <w:p>
      <w:r>
        <w:rPr>
          <w:b/>
        </w:rPr>
        <w:t>E. 1.4</w:t>
      </w:r>
    </w:p>
    <w:p>
      <w:r>
        <w:t>Antragsgemäss bilden in materieller Hinsicht lediglich die Flüchtlingseigenschaft, die Gewährung des Asyls und die Wegweisung Gegenstand des vorliegenden Verfahrens.</w:t>
      </w:r>
    </w:p>
    <w:p>
      <w:r>
        <w:rPr>
          <w:b/>
        </w:rPr>
        <w:t>E. 2.1</w:t>
      </w:r>
    </w:p>
    <w:p>
      <w:r>
        <w:t>Der Beschwerdeführer machte geltend, wegen des in der Schweiz aufgewachsenen und Somalisch sprechenden Dolmetschers sei es zu Missverständnissen gekommen. Die Frage nach Problemen mit irgendwelchen Gruppierungen habe er auf andere Gruppierungen als al-Shabaab bezogen. Entsprechend sei seine Antwort ausgefallen. Schliesslich sei klar, dass man Probleme mit einer Organisation habe, die seine Brüder getötet habe. Ausserdem sei er in der BzP zur Kürze angehalten worden, weshalb er damals - zumal unter Stress gestanden - nicht auf alle Probleme habe eingehen können. Es sei für ihn schwierig gewesen, in chronologischer Reihenfolge zu berichten. Er habe bloss eine halbjährige Schulbildung erhalten. Damit wirft er der Vorinstanz sinngemäss unrichtige respektive unvollständige Feststellung des Sachverhalts sowie Falsch- oder Nichtbeurteilung von erheblichen Sachverhaltselementen vor. Diese verfahrensrechtlichen Rügen sind vorab zu prüfen, da die Sache an die Vorinstanz zurückzuweisen (und eventuell die Anhörung zu wiederholen) wäre, sollte sich der sinngemässe Vorwurf der Verletzung des rechtlichen Gehörs oder allenfalls der Willkür als begründet erweisen.</w:t>
      </w:r>
    </w:p>
    <w:p>
      <w:r>
        <w:rPr>
          <w:b/>
        </w:rPr>
        <w:t>E. 2.2</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bei der vertieften Anhörung alle Gründe zu nennen haben, die für die Asylgewährung relevant sein könnten (vgl. BVGE 2009/50 E. 10.2 m.w.H.). Was die Anforderungen an die mündliche Anhörung gemäss Art. 29 AsylG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w:t>
      </w:r>
    </w:p>
    <w:p>
      <w:r>
        <w:rPr>
          <w:b/>
        </w:rPr>
        <w:t>E. 2.3</w:t>
      </w:r>
    </w:p>
    <w:p>
      <w:r>
        <w:t>Diesen Anforderungen ist die Vorinstanz entgegen der Auffassung des Beschwerdeführers nachgekommen. So lässt dessen Aussageverhalten in der BzP nicht erkennen, dass er der Befragung nicht hätte folgen können, oder er nicht das hätte sagen wollen, was im Protokoll steht. Diese Feststellung steht in Einklang mit seiner Aussage, wonach er keine Zusatzbemerkungen habe (vgl. BzP S.11) beziehungsweise in der Anhörung alles habe erklären können (SEM-Akten A16 S. 11 F73). Wohl konnten die angegebenen Vorkommnisse nicht immer in der wünschbaren Tiefe ergründet werden, was aber offensichtlich auf sein vages und mitunter bewusst selektives Aussageverhalten zurückzuführen ist. In Befragung und Anhörung sind keine Situationen mit gravierenden Verständnisproblemen zu erkennen. Befrager und Dolmetscher haben dem Beschwerdeführer offensichtlich ausreichend Möglichkeit zur vollständigen Darlegung oder Klarstellung seiner Angaben geboten. Zudem gab der Beschwerdeführer an, die Dolmetscher gut respektive sehr gut verstanden zu haben (SEM-Akten A4 S. 2 und 11 sowie A16 S. 1). Er hat die Richtigkeit und Vollständigkeit der Protokolle nach Rückübersetzung unterschriftlich bestätigt. Vor diesem Hintergrund erweisen sich die nachträglichen Vorbehalte gegenüber dem Dolmetscher und die in der Beschwerde angeführten Erklärungen als aufgesetzt. Die für einen Entscheid wesentlichen Sachverhaltsteile sind rechtsgenügend von der Vorinstanz festgestellt worden. Es besteht damit kein Zweifel an der Verwertbarkeit der Inhalte der Befragungsprotokolle. Zusammenfassend besteht damit kein formeller Grund für eine Rückweisung der Angelegenheit an die Vorinstanz oder für eine Neuanhörung.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dazu Art. 3 AsylG). Dabei kommt es auf die Gezieltheit, Intensität und Aktualität dieser Nachteile und das Motiv ihrer Zufügung an. Gemäss Art. 54 AsylG wird Flüchtlingen kein Asyl gewährt, wenn sie erst durch die Ausreise aus dem Heimat- oder Herkunftsstaat oder wegen ihres Verhaltens nach der Ausreise Flüchtlinge im Sinne von Art. 3 wurden.</w:t>
      </w:r>
    </w:p>
    <w:p>
      <w:r>
        <w:rPr>
          <w:b/>
        </w:rPr>
        <w:t>E. 3.2</w:t>
      </w:r>
    </w:p>
    <w:p>
      <w:r>
        <w:t>Wer um Asyl nachsucht, muss die Flüchtlingseigenschaft nachweisen oder zumindest glaubhaft machen (vgl. dazu Lehre und Rechtsprechung in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Vorinstanz lehnte das Asylgesuch auf der Grundlage von Art. 3 und 7 AsylG ab. Die zentralen Angaben des Beschwerdeführers seien widersprüchlich ausgefallen; sie würden der allgemeinen Erfahrung und der Logik widersprechen. 4.2 Was der Beschwerdeführer in seiner Eingabe dagegen vorbringt, ist nicht geeignet, das Gericht von einer gegen seine Person gerichteten Verfolgung zu überzeugen. Er bezeichnet sich als von der Organisation al-Shabaab, die in seinem Wohnquartier aktiv sei, gezielt verfolgte Person. Die al-Shabaad erwarte seine Rache, weil er sich ihren regelmässigen Rekrutierungsbemühungen stets widersetzt habe, zwei seiner Brüder durch Raketen der al-Shabaad gefallen seien und er ihr gemäss mutmasslich mit der Regierung zusammenarbeite (vgl. Beschwerde S. 3). Das Gericht kann dieser Einschätzung nicht folgen. So verneinte der Beschwerdeführer anlässlich der BzP wiederholt und kategorisch, konkrete Probleme mit irgendwelchen Privatpersonen, Gruppierungen, Parteien oder Organisationen gehabt zu haben (SEM-Akten A4 S. 9 f.). Drei Brüder seien in seinem Wohnort umgekommen. Die eigene Familie sei arm und es gebe generell keine Sicherheit in seinem Gebiet (namentlich Schiessereien, Krieg mit al-Shabaab, Entführungen, willkürliche Verhaftungen, Erpressungen); es sei unzumutbar und unmöglich, in Somalia zu leben (vgl. SEM-Akten A4 S. 9). Erst in der Anhörung verband er diese Ausreisemotive mit den seit 2013 andauernden, gezielten Rekrutierungsversuchen durch al-Shabaad. Er gab an, sich diesen Anwerbungen über ein Jahr lang erfolgreich widersetzt zu haben, obschon er Kenntnis gehabt habe, dass al-Shabaab Kooperationsverweigerungen mit dem Tod bestrafe (vgl. SEM-Akten A16 S. 7 f.). Da dieser zentrale Ausreisegrund und die darauf gestützten Befürchtungen nicht bereits in der BzP - zumindest ansatzweise - erwähnt worden sind, ist von einem Nachschieben dieses Motivs auszugehen. Die gegen diese Auffassung erhobenen Einwände einer zeitlich zu knapp bemessenen BzP, Stress und einer persönlichen Erschöpfung nach einer Reise sind angesichts des Gesprächsverlaufs keine plausiblen Erklärungen für das spätere Geltendmachen. Aus diesen Gründen ist dem Beschwerdeführer nicht zu glauben (vgl. auch EMARK 1993 Nr. 3). Ebenso unglaubhaft ist dessen pauschale Behauptung, vor der Ausreise der in seinem Wohnquartier aktiven al-Shabaab über ein Jahr lang erfolgreich ausgewichen und von ihr erstmals Monate nach seiner erfolgten Ausreise zu Hause aufgesucht worden zu sein. Hätte er tatsächlich im Fokus dieser grosse Teile Südsomalias kontrollierenden Organisation gestanden, wäre er mit Sicherheit früher geflohen. Darüber hinaus hat er seine angebliche Haft nicht nur in zeitlicher, sondern auch inhaltlicher Hinsicht stark widersprüchlich geschildert. Bei dieser Sachlage hinterlässt er nicht den Eindruck, von der wahhabitisch beeinflussten Organisation al-Shabaab je für den Kriegsdienst angeworben oder dann gezielt von ihr verfolgt worden zu sein. Es ist von einem konstruierten Sachverhalt auszugehen. Zusammenfassend ist festzustellen, dass der Beschwerdeführer kein Flüchtling ist. Die Vorinstanz hat dessen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2009/50 E. 9, je m.w.H.). Die Anordnung der Wegweisung ist somit nicht zu beanstanden. Nach dem Gesagten verletzt die angefochtene Verfügung Bundesrecht nicht und ist auch sonst nicht zu beanstanden (Art. 106 Abs. 1 AsylG). Die Beschwerde ist abzuweisen.</w:t>
      </w:r>
    </w:p>
    <w:p>
      <w:r>
        <w:rPr>
          <w:b/>
        </w:rPr>
        <w:t>E. 7.1</w:t>
      </w:r>
    </w:p>
    <w:p>
      <w:r>
        <w:t>Die gestellten Begehren erweisen sich als aussichtslos, weshalb das Gesuch um Gewährung der unentgeltlichen Rechtspflege ungeachtet der geltend gemachten Fürsorgeabhängigkeit abzuweisen ist. Das Gesuch um Befreiung von einem Vorschuss ist mit diesem Urteil gegenstandslos geworden.</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