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E-5662/2016 vom 22. Mai 2018</w:t>
      </w:r>
    </w:p>
    <w:p>
      <w:r>
        <w:t>Bundesverwaltungsgericht, 2018-05-22, FR</w:t>
      </w:r>
    </w:p>
    <w:p>
      <w:r>
        <w:rPr>
          <w:b/>
        </w:rPr>
        <w:t xml:space="preserve">Quelle: </w:t>
      </w:r>
      <w:r>
        <w:t>https://mcp.opencaselaw.ch/entscheid/bvger_E-5662_2016</w:t>
      </w:r>
    </w:p>
    <w:p>
      <w:r>
        <w:t>FR: TAF E-5662/2016 du 22 mai 2018</w:t>
      </w:r>
    </w:p>
    <w:p>
      <w:r>
        <w:t>IT: TAF E-5662/2016 del 22 maggio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Le Tribunal examine au préalable le grief de nature formel invoqué par le recourant, à savoir le défaut de motivation par le SEM de sa décision (cf recours, p. 4, pt 5). Concrètement, il reproche à l'autorité de première instance d'avoir sélectionné et fondé sa décision sur quelques éléments d'invraisemblance seulement, sans s'être déterminé précisément et en détail sur chaque point d'invraisemblance (cf. décision entreprise, p. 3, dernier par.). Il argumente que ce procédé l'a empêché de contester la décision sujette à recours de manière exhaustive sur chacun des éléments jugés invraisemblables.</w:t>
      </w:r>
    </w:p>
    <w:p>
      <w:r>
        <w:rPr>
          <w:b/>
        </w:rPr>
        <w:t>E. 2.2</w:t>
      </w:r>
    </w:p>
    <w:p>
      <w:r>
        <w:t>La jurisprudence a notamment déduit du droit d'être entendu, garanti à l'art. 29 al. 2 Cst.,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2009/54 consid. 2.5 ; 2008/47 consid. 3.2 p. 674 s. et réf. cit.).</w:t>
      </w:r>
    </w:p>
    <w:p>
      <w:r>
        <w:rPr>
          <w:b/>
        </w:rPr>
        <w:t>E. 2.3</w:t>
      </w:r>
    </w:p>
    <w:p>
      <w:r>
        <w:t>Dans le présent cas, le Tribunal estime que la motivation du SEM répondait aux exigences précitées, cette autorité ayant exposé les éléments d'invraisemblance essentiels et sur lesquels elle a fondé sa décision. Conformément à la jurisprudence précitée, il ne saurait être fait grief au SEM de ne pas avoir examiné tous les éléments d'invraisemblance et de manière individuelle. La motivation du SEM permettait au recourant de comprendre la décision et de l'attaquer en toute connaissance de cause, ce qu'il a d'ailleurs fait en contestant l'appréciation de l'autorité au sujet de l'invraisemblance des éléments de fait essentiels retenus. Par conséquent, la motivation de la décision du SEM du 15 août 2016 apparaît suffisante et le grief y relatif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w:t>
      </w:r>
    </w:p>
    <w:p>
      <w:r>
        <w:rPr>
          <w:b/>
        </w:rPr>
        <w:t>E. 3.3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l'occurrence, l'asile a été refusé à l'intéressé, le SEM estimant contraire à l'expérience générale et à la logique, d'une part, que G._______ soit recherché alors qu'il n'était pas directement impliqué dans la mort de l'agent et, d'autre part, que le H._______ déploie autant de moyens pour retrouver ces deux frères qui ne représentent pourtant aucune menace concrète pour le régime et ce de plus, s'agissant du recourant, de nombreux mois après les événements incriminés de (...). L'autorité de première instance a encore relevé des contradictions dans le récit du recourant au sujet des faits reprochés à son frère, du lien de parenté entre l'homme politique que véhiculait G._______ et le parton de celui-là (fils ou neveu), ainsi que le nombre de visites du H._______ à son domicile. Il a ajouté que les déclarations de l'intéressé au sujet de l'événement du (...) étaient vagues et inconsistants (cf. réponse du SEM, p. 1). Enfin, le SEM a considéré l'absence d'une crainte fondée de persécution future en cas de retour. A l'appui de son recours, A._______ a contesté cette appréciation et a maintenu avoir été persécuté par le H._______ avant son départ du pays et risquer de sérieux préjudices en cas de renvoi. D'entrée de cause, le Tribunal rappelle que la détention invoquée par G._______ et les mesures de surveillance engagées par le H._______ à son égard sont jugées non pertinentes sous l'angle de l'art. 3 LAsi, par arrêt de ce jour en la cause E-1073/2016. Dès lors, n'étant pas déterminants pour le principal intéressé, ces motifs ne le sont pas non plus pour le recourant. Il n'est donc pas nécessaire d'analyser la vraisemblance des propos de l'intéressé par rapport à l'événement du (...) et de ses suites, qui concernent uniquement son frère. En revanche, doivent être examinés les persécutions invoquées par le recourant. Le Tribunal considère à cet égard qu'il est contraire à la logique que le H._______ ait recherché le recourant pour des faits imputés personnellement à son frère, lequel avait d'ailleurs été libéré après trois jours de détention. Il n'est pas non plus plausible que l'intéressé ait été recherché plus d'un an après les faits, quand bien même son frère avait déjà quitté le domicile familial en (...); il est donc illogique que les agents du H._______ s'en soient pris au recourant à la période indiquée et pour les motifs allégués. En outre, le Tribunal relève une contradiction essentielle s'agissant des dates et de la fréquence des visites du H._______. En effet, le recourant a déclaré tantôt avoir été recherché pour la première fois, le (...), tantôt à environ cinq reprises entre juillet et décembre 2014. L'allégué selon lequel il aurait été contraint de rester bref lors de son audition sur les données personnelles n'excuse en rien cette divergence de propos, puisqu'il a clairement répondu à la question « Hatten Sie persönlich vor diesem Datum [...] jemals Probleme mit den Behörden ? Nein, keinerlei. » (cf pv de la dite audition, pt 7.01). En outre, le recourant n'est pas non plus capable de donner des indications temporelles concernant les visites qui auraient eu lieu entre le mois de juillet et le (...) ni leur fréquence, se contentant de déclarer que les agents se présentaient de temps à autre (cf. pv de son audition sur les motifs, Q86 s.). A cela s'ajoute que son récit au sujet des visites domiciliaires du H._______ est vague et dépourvu de détails susceptibles de démontrer le réel vécu des événements invoqués. Ainsi, il n'est pas en mesure de détailler les mauvais traitements qu'il aurait subis le (...) (« ich wurde misshandelt », Q44 de son audition sur les motifs ; cf. aussi Q86, Q93), exception faite de brûlures de cigarettes, et n'indique pas spontanément le nombre d'agents présents à ce moment. Il n'est pas en mesure de décrire la chronologie des faits ni d'indiquer si les agents lui ont parlé avant ou après l'avoir frappé ni les propos qu'ils auraient tenus (cf. Q96). En particulier, invité à décrire précisément l'événement du (...) où des agents du H._______ l'auraient attendu au domicile de sa mère, il se révèle incapable de donner la moindre substance à ses propos (cf. Q93). Il ne répond pas précisément à la question de savoir où se trouvait sa mère lorsque les agents lui ont ouvert la porte, se contentant de déclarer qu'elle n'avait pas été autorisée à ouvrir elle-même (cf. Q108). En outre, il est pour le moins surprenant que le recourant se soit soudain souvenu de certains détails au stade du recours, soit plus d'un an après son audition sur les motifs. Ainsi, dans son mémoire, il précise que les agents sont venus à environ cinq reprises, à moto, qu'il a reçu un coup sur la nuque, qu'on lui a tiré l'oreille et qu'un des agents a écrasé son pied nu avec sa chaussure. Il ajoute encore que, le (...), deux agents lui ont ouvert la porte, qu'ils étaient en tenue civile et se tenaient à moins de deux mètres de lui. Tardifs, ces allégués sont invraisemblables et les précisions apportées font de toute évidence suite au manque de consistance de ses propos relevé par le SEM dans la décision attaquée. Le recourant ajoute des détails de manière tardive pour les besoins de la cause, alors qu'il a eu à maintes fois l'occasion de détailler son récit au cours de son audition sur les motifs, ce qu'il n'a pas fait. Au demeurant, sans que ces éléments soient à eux seuls déterminants, le Tribunal relève encore qu'il est aussi contraire à la logique que le recourant, qui aurait été frappé par les agents du H._______ le (...) et se serait soustrait à son obligation d'aller signer au camp de D._______ le lendemain, ait néanmoins continué à travailler comme à son habitude jusqu'au (...) et soit sorti librement, sans inquiétude ni précaution particulière, le (...) suivant, pour aller faire des achats. A cela s'ajoute que, d'après G._______, les agents du H._______ ont confisqué le passeport de son frère au cours d'une de leurs visites afin d'empêcher sa fuite, ce que le recourant n'a pourtant pas allégué. G._______ a ajouté qu'au retour de sa mère à C._______ en début 2016, après un séjour de trois mois en Suisse, elle avait été interrogée par des agents du H._______ au sujet de l'endroit où lui et son frère résidaient, ce dont le recourant n'a pas non plus parlé.</w:t>
      </w:r>
    </w:p>
    <w:p>
      <w:r>
        <w:rPr>
          <w:b/>
        </w:rPr>
        <w:t>E. 4.2</w:t>
      </w:r>
    </w:p>
    <w:p>
      <w:r>
        <w:t>Enfin, les moyens de preuve produits par le recourant énumérés sous la lettre B.a ci-dessus ne sont pas déterminants, puisqu'ils portent sur des éléments non contestés. S'agissant des documents évoqués sous la lettre G. supra, ils sont rédigés à la demande de l'intéressé, par l'intermédiaire de sa mère, et ne suffisent pas, en tant que tels, à rendre les problèmes du recourant objectivement vraisemblables, compte tenu du considérant qui précède.</w:t>
      </w:r>
    </w:p>
    <w:p>
      <w:r>
        <w:rPr>
          <w:b/>
        </w:rPr>
        <w:t>E. 4.3</w:t>
      </w:r>
    </w:p>
    <w:p>
      <w:r>
        <w:t>En conclusion, le recourant n'a pas rendu vraisemblable, au sens de l'art. 7 LAsi, avoir été exposé à de sérieux préjudices avant son départ du Sri Lanka. Il s'ensuit qu'il n'est pas non plus vraisemblable qu'il ait à craindre un risque de persécution future en cas de retour pour des motifs antérieurs à sa fuite. Partant, le recours doit être rejeté en tant qu'il conteste le refus d'octroi de l'asile.</w:t>
      </w:r>
    </w:p>
    <w:p>
      <w:r>
        <w:rPr>
          <w:b/>
        </w:rPr>
        <w:t>E. 5.1</w:t>
      </w:r>
    </w:p>
    <w:p>
      <w:r>
        <w:t>Il reste à examiner si l'intéressé peut se voir reconnaître la qualité de réfugié, à l'exclusion de l'asile, pour des motifs subjectifs survenus après la fuite (cf. art. 54 LAsi), en raison de son départ du pays (« Republikflucht »), compte tenu de facteurs de risque qui existaient déjà avant son départ (cf. arrêt de référence du Tribunal administratif fédéral E-1866/2015 du 15 juillet 2016 consid. 8.5.6).</w:t>
      </w:r>
    </w:p>
    <w:p>
      <w:r>
        <w:rPr>
          <w:b/>
        </w:rPr>
        <w:t>E. 5.2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LEtr (RS 142.20).</w:t>
      </w:r>
    </w:p>
    <w:p>
      <w:r>
        <w:rPr>
          <w:b/>
        </w:rPr>
        <w:t>E. 5.3</w:t>
      </w:r>
    </w:p>
    <w:p>
      <w:r>
        <w:t>Dans son arrêt de référence E-1866/2015 du 15 juillet 2016 susmentionné, le Tribunal a procédé à une analyse actuelle de la situation des ressortissants sri-lankais à leur retour au pays (cf. op. cit., consid. 8). Il a considéré qu'il n'existait pas de risque sérieux et généralisé d'arrestation et de torture pour les Tamouls renvoyés au Sri Lanka en partance d'Europe, respectivement de Suisse (cf. op. cit., consid. 8.3). Afin d'évaluer les risques de sérieux préjudices sous forme d'arrestation et de torture encourus par les ressortissants sri-lankais qui rentrent au pays, il a défini différents facteurs.</w:t>
      </w:r>
    </w:p>
    <w:p>
      <w:r>
        <w:rPr>
          <w:b/>
        </w:rPr>
        <w:t>E. 5.3.1</w:t>
      </w:r>
    </w:p>
    <w:p>
      <w:r>
        <w:t>Ainsi, le Tribunal a, d'une part, défini des facteurs de risque dits forts, qui suffisent en général, à eux seuls, pour fonder une crainte de persécution future déterminante en matière d'asile. Entrent notamment dans cette catégorie : a) l'inscription sur la « Stop List » utilisée par les autorités sri-lankaises à l'aéroport de Colombo, ou sur la « Watch List » (cf. op. cit., consid. 8.4.3 et 8.5.2 ; cf. également arrêt du Tribunal E-32/2017 du 19 janvier 2017, consid. 5.2) et b) un engagement particulier pour des activités politiques en exil contre le régime, dans le but de ranimer le mouvement des séparatistes tamouls (cf. arrêt de référence E-1866/2015 précité, consid. 8.4.2 et 8.5.4).</w:t>
      </w:r>
    </w:p>
    <w:p>
      <w:r>
        <w:rPr>
          <w:b/>
        </w:rPr>
        <w:t>E. 5.3.2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Le retour au Sri Lanka sans document d'identité valable (cf. op. cit., consid. 8.4.4) constitue notamment un tel facteur de risque faible.</w:t>
      </w:r>
    </w:p>
    <w:p>
      <w:r>
        <w:rPr>
          <w:b/>
        </w:rPr>
        <w:t>E. 5.4</w:t>
      </w:r>
    </w:p>
    <w:p>
      <w:r>
        <w:t>En l'occurrence, le recourant a affirmé n'avoir jamais eu de contact ni de lien avec les LTTE (Liberation Tigers of Tamil Eelam), n'a personnellement jamais exercé d'activités politiques, n'a jamais rencontré de problèmes avec les autorités ou avec des tiers et n'a pas non plus fait l'objet d'une procédure judiciaire. En outre, il est rappelé qu'il n'est pas vraisemblable qu'il ait été dans le collimateur du H._______ avant son départ du pays. De plus, le fait d'avoir pris part à environ cinq rassemblements de la communauté tamoule à K._______ à des dates indéterminées - pour autant que ces faits soient avérés, faute de moyen de preuve produit en l'espèce - ne suffit pas en soi pour considérer que le recourant aurait de ce fait éveillé les soupçons des autorités sri-lankaises. En effet, il n'a pas invoqué avoir eu une fonction particulièrement exposée ou avoir ouvertement et publiquement critiqué le régime de sorte à pouvoir attirer l'attention des autorités sur lui personnellement et être identité comme un opposant notoire (cf. op. cit., consid. 8.4.2 et 8.5.4). En définitive, il n'apparaît pas que le recourant puisse être soupçonné par les autorités de son pays de vouloir ranimer le mouvement des séparatistes tamouls et soit identifié comme représentant un danger pour l'unité et la cohésion nationales. Il n'y a donc pas non plus de raison objective de penser que son nom figurerait sur la « Watch List », puisqu'aucune procédure judiciaire pénale l'impliquant personnellement n'est ouverte et n'a jamais mentionné un mandat d'arrêt émis à son égard, étant rappelé qu'il a pu se faire délivrer sans difficulté, par l'intermédiaire de sa mère, un acte de naissance en (...).</w:t>
      </w:r>
    </w:p>
    <w:p>
      <w:r>
        <w:rPr>
          <w:b/>
        </w:rPr>
        <w:t>E. 5.5</w:t>
      </w:r>
    </w:p>
    <w:p>
      <w:r>
        <w:t>Par ailleurs, la sortie du Sri Lanka sans passeport (en l'espèce, le recourant aurait utilisé un faux passeport) constitue certes selon les dispositions légales sri-lankaises (cf. art. 34 ss. de l' «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op. cit., consid. 8.4.4). En outre, le fait que le recourant (...) (cf. op. cit., consid. 9.2.4), soit d'ethnie tamoule et originaire de la province du Nord ainsi que la durée de son séjour en Suisse ne constituent pas des facteurs de risque déterminants susceptibles de fonder une crainte objective de représailles, mais confirment tout au plus qu'il pourrait attirer sur lui l'attention des autorités à son retour et être interrogé (cf. op. cit., consid. 9.2.4 et 9.2.5 ; voir aussi arrêt du Tribunal administratif fédéral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étant rappelé qu'il n'a jamais été soupçonné d'entretenir des liens avec les LTTE et n'a pas exercé d'activités politiques (cf. arrêt de référence E-1866/2015 précité, consid. 8.4.5 et 8.5.5).</w:t>
      </w:r>
    </w:p>
    <w:p>
      <w:r>
        <w:rPr>
          <w:b/>
        </w:rPr>
        <w:t>E. 5.6</w:t>
      </w:r>
    </w:p>
    <w:p>
      <w:r>
        <w:t>En conclusion, la crainte du recourant d'avoir à subir, en cas de retour au Sri Lanka, de sérieux préjudices au sens de l'art. 3 LAsi pour des motifs postérieurs à sa fuite n'est pas objectivement fondée. Dès lors, son recours, en tant qu'il conteste le refus de reconnaissance de la qualité de réfugié, doit aussi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ni rendu vraisemblable ni établi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En l'occurrence, le Tribunal constate que le recourant n'a pas établi qu'il aurait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précité, consid. 12.2).</w:t>
      </w:r>
    </w:p>
    <w:p>
      <w:r>
        <w:rPr>
          <w:b/>
        </w:rPr>
        <w:t>E. 8.5</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susmentionné, consid. 13). 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w:t>
      </w:r>
    </w:p>
    <w:p>
      <w:r>
        <w:rPr>
          <w:b/>
        </w:rPr>
        <w:t>E. 9.3</w:t>
      </w:r>
    </w:p>
    <w:p>
      <w:r>
        <w:t>En l'espèce, le recourant est originaire de B._______ et a vécu durant les cinq années qui ont précédé son départ à C._______ et à D._______, dans le district de Jaffna, hors de la région du Vanni (selon la délimitation susmentionnée). Aussi, malgré des conditions de vie généralement difficiles dans le nord du pays, il doit être admis que le retour de l'intéressé dans sa région d'origine est raisonnablement exigible.</w:t>
      </w:r>
    </w:p>
    <w:p>
      <w:r>
        <w:rPr>
          <w:b/>
        </w:rPr>
        <w:t>E. 9.4</w:t>
      </w:r>
    </w:p>
    <w:p>
      <w:r>
        <w:t>En outre, il ne ressort du dossier aucun élément dont on pourrait inférer que l'exécution du renvoi impliquerait une mise en danger concrète du recourant. A cet égard, le Tribunal relève que le recourant est jeune, sans charge de famille, a achevé le A-Level, est au bénéfice d'une expérience professionnelle et n'a pas allégué de problème de santé particulier. Il est donc apte à travailler, ce qui devrait lui permettre de se réinstaller sans rencontrer d'excessives difficultés. Au demeurant, il dispose d'un réseau familial et social dans son pays d'origine sur lequel il pourra compter à son retour, en particulier sa mère et sa soeur qui vivent à D._______ dans la propriété familiale, sans compter que son frère fait également l'objet d'une décision de renvoi exécutoire.</w:t>
      </w:r>
    </w:p>
    <w:p>
      <w:r>
        <w:rPr>
          <w:b/>
        </w:rPr>
        <w:t>E. 9.5</w:t>
      </w:r>
    </w:p>
    <w:p>
      <w:r>
        <w:t>Pour ces motifs, l'exécution du renvoi doit être considérée comme raisonnablement exigible.</w:t>
      </w:r>
    </w:p>
    <w:p>
      <w:r>
        <w:rPr>
          <w:b/>
        </w:rPr>
        <w:t>E. 10</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12.1</w:t>
      </w:r>
    </w:p>
    <w:p>
      <w:r>
        <w:t>Compte tenu de l'octroi au recourant de l'assistance judiciaire partielle, par décision incidente du 18 avril 2017, il n'est pas perçu de frais de procédure (cf. art. 65 al. 1 PA).</w:t>
      </w:r>
    </w:p>
    <w:p>
      <w:r>
        <w:rPr>
          <w:b/>
        </w:rPr>
        <w:t>E. 12.2</w:t>
      </w:r>
    </w:p>
    <w:p>
      <w:r>
        <w:t>Vu l'issue de la cause, il n'y a pas lieu d'allouer de dépens au recourant (cf. art. 64 al. 1 PA et art. 7 al. 1 du règlement du 21 février 2008 concernant les frais, dépens et indemnités fixés par le Tribunal administratif fédéral [FITAF, RS 173.320.2]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