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E-5661/2016 vom 24. Oktober 2016</w:t>
      </w:r>
    </w:p>
    <w:p>
      <w:r>
        <w:t>Bundesverwaltungsgericht, 2016-10-24, DE</w:t>
      </w:r>
    </w:p>
    <w:p>
      <w:r>
        <w:rPr>
          <w:b/>
        </w:rPr>
        <w:t xml:space="preserve">Quelle: </w:t>
      </w:r>
      <w:r>
        <w:t>https://mcp.opencaselaw.ch/entscheid/bvger_E-5661_2016</w:t>
      </w:r>
    </w:p>
    <w:p>
      <w:r>
        <w:t>FR: TAF E-5661/2016 du 24 octobre 2016</w:t>
      </w:r>
    </w:p>
    <w:p>
      <w:r>
        <w:t>IT: TAF E-5661/2016 del 24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insgesamt den Anforderungen an die Glaubhaftigkeit gemäss Art. 7 AsylG nicht standhalten. Obwohl er mehrere Jahre Präsident des Studentenflügels einer Partei gewesen sei, wisse er erstaunlich wenig über Politik und die eigene Partei. Er habe nicht glaubhaft darlegen können, dass er in Bangladesh irgendeinen Bezug zur Politik gehabt habe. Seine Aussagen zur Haft wegen der Mordanschuldigung seien sehr vage und es mangle ihnen an Substanz und Realkennzeichen. Jemand der tatsächlich eineinhalb bis zwei Jahre im Gefängnis verbracht habe, könne erfahrungsgemäss mehr berichten, als nur stereotype Vorstellungen von einem unhygienischen überfüllten Gefängnis. Weiter würden sich in seinen Aussagen mehrere Widersprüche in wesentlichen Punkten finden und die eingereichten Beweismittel seien nicht tauglich, den asylrelevanten Sachverhalt glaubhaft zu machen. In einigen Punkten fehle seiner Erzählung jegliche Logik.</w:t>
      </w:r>
    </w:p>
    <w:p>
      <w:r>
        <w:rPr>
          <w:b/>
        </w:rPr>
        <w:t>E. 4.2</w:t>
      </w:r>
    </w:p>
    <w:p>
      <w:r>
        <w:t>Der Beschwerdeführer wendet dagegen ein, er habe in seiner Partei einzig die Aufgabe gehabt, die Leute zu versammeln, um an Demonstrationen teilzunehmen. Die Vorinstanz verkenne die tatsächliche Situation in Bangladesh und vergleiche die politischen Aktivitäten zu stark mit der Situation in der Schweiz. Für die Position des Präsidenten brauche es keine besonderen politischen Kenntnisse. Die Haft habe er sehr substantiiert und detailreich beschrieben. Er habe versucht Beweismittel zu beschaffen. Dass die Vorinstanz ihm nun vorwerfe, diese Beweismittel würden nichts beweisen, sei stossend. So zeige der eingereichte Arztbericht, dass seine Verletzung typisch für den beschriebenen Überfall sei, und andere Dokumente würden beweisen, dass er im Gefängnis sowie politisch aktiv gewesen sei. Es sei nicht zulässig, dass den eingereichten Beweismitteln pauschal der Beweiswert abgesprochen werde. Weiter verkenne die Vor­instanz, wie das politische System in Bangladesh funktioniere. Er habe nie ein richtiges Urteil erhalten und sei aufgrund falscher Anschuldigungen inhaftiert gewesen. Bangladesh sei ein korruptes Land. Vieles sei möglich, wenn man die finanziellen Mittel habe.</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unglaubhaft ausgefallen ist.</w:t>
      </w:r>
    </w:p>
    <w:p>
      <w:r>
        <w:rPr>
          <w:b/>
        </w:rPr>
        <w:t>E. 4.3.1</w:t>
      </w:r>
    </w:p>
    <w:p>
      <w:r>
        <w:t>So hält die Vorinstanz zutreffend fest, dass der Beschwerdeführer erstaunlich wenig über die allgemeine Politik, die eigene Partei und deren Tätigkeit wisse. Der Beschwerdeführer wurde in der ersten Anhörung gefragt, welchen Aufgabenbereich er als Präsident der Partei gehabt habe. Darauf antwortet er lediglich, er habe die Partei führen müssen (SEM-Akten, A17/14 F52). Auf die nachfolgende Frage, was er konkret gemacht habe, bringt er vor, sie hätten darüber gesprochen, wie sie die Partei in Zukunft führen wollten und hätten Versammlungstermine vereinbart (SEM-Akten, A17/14 F53). Auch auf weitere Fragen hierzu antwortet er durchgehend oberflächlich und einsilbig. So wurde er beispielsweise nach dem Hauptunterschied zwischen der BNP und der AL gefragt, worauf er zu Protokoll gibt, die AL seien Terroristen und sie nicht (SEM-Akten, A17/14 F68). Auch seinen Ausführungen zur Politik in Bangladesh in der zweiten Anhörung fehlt es an jeglicher Substanz (vgl. SEM-Akten, A38/24 F63 ff.). Selbst wenn die politischen Realitäten in Bangladesh nicht mit denjenigen in der Schweiz verglichen werden können, muss von einem Präsidenten einer Studentenpartei doch eine gewisse Kenntnis des politischen Systems des Landes, des Aufbaus und der Ziele seiner Mutterpartei sowie des eigenen Aufgabenbereichs erwartet werden können. Ausserdem widerspricht sich der Beschwerdeführer bezüglich seiner Tätigkeit als Präsident seiner Partei in verschiedenen Punkten. So bringt er in der BzP und der ersten Anhörung vor, er sei seit dem Jahr 2009 Präsident der Partei gewesen (SEM-Akten, A7/13 S. 8 und A17/14 F48). Nach dem Kassationsurteil des Bundesverwaltungsgericht reichte der Beschwerdeführer, nachdem er noch in ersten Anhörung aussagte, dass er über keinen Mitgliederausweis verfüge (SEM-Akten, A17/14 F59), einen Präsidentenausweis der Partei und andere Bestätigungen ein, gemäss denen er bereits seit dem Jahr 2006 Präsident der Partei gewesen sei (SEM-Akten, A34 Nr. 10 ff.). Als er in der zweiten Befragung auf diesen Widerspruch angesprochen wurde, macht er plötzlich geltend, er sei von 2006 bis 2009 Präsident gewesen (SEM-Akten, A38/24 F119 und F231). Ebenfalls widersprechen sich seine Aussagen bezüglich seiner Kontaktperson bei der BNP (vgl. hierzu SEM-Akten, A17/14 F54 und A38/24 F102 und F232). Diese Widersprüche kann der Beschwerdeführer weder in den Anhörungen noch auf Beschwerdeebene entkräften. Dass er in seiner Heimat politisch aktiv und Präsident des Studentenflügels der BNP gewesen sei, kann ihm unter diesen Umständen nicht geglaubt werden.</w:t>
      </w:r>
    </w:p>
    <w:p>
      <w:r>
        <w:rPr>
          <w:b/>
        </w:rPr>
        <w:t>E. 4.3.2</w:t>
      </w:r>
    </w:p>
    <w:p>
      <w:r>
        <w:t>Ebenfalls zutreffend sind die Ausführungen der Vorinstanz zum Gefängnisaufenthalt des Beschwerdeführers. Als der Beschwerdeführer in der zweiten Anhörung aufgefordert wird, detailliert von seiner Haft zu erzählen, bringt er lediglich vor, er habe Essen bekommen und habe auch mal raus gedurft (SEM-Akten, A38/24 F155). Auch auf die Nachfrage hin, gibt er einzig zu Protokoll, es sei ein normales Gefängnis gewesen, wo es drei Mal am Tag Essen gegeben habe und die erste Mahlzeit sei um neun Uhr gekommen. Man müsse mit den anderen auskommen (SEM-Akten, A38/24 F156). Auch die weiteren Fragen hierzu beantwortet er nur oberflächlich. Realkennzeichen, die darauf deuten, dass er tatsächlich eineinhalb Jahre im Gefängnis gewesen ist, finden sich in seinen Aussagen kaum. An der Unglaubhaftigkeit der diesbezüglichen Vorbringen ändern auch die im vor­instanzlichen Verfahren eingereichten Gerichtsdokumente nichts. Aus dem ersten Dokument geht lediglich hervor, dass drei Personen angeklagt seien und einer davon der Beschwerdeführer sei (SEM-Akten, A35 Nr. 26). Das zweite Dokument weist darauf hin, dass der Beschwerdeführer eine Kaution zu leisten gehabt habe (SEM-Akten, A35 Nr. 26). Die asylrelevanten Vorbringen des Beschwerdeführers, dass er aufgrund seiner politischen Tätigkeit zu Unrecht wegen Mordes angeklagt und deshalb für eineinhalb Jahre inhaftiert worden sei, bestätigen diese Dokumente nicht. Erstaunlich ist auch, dass er mehrere Male erwähnt, dass sein Vater respektive sein Anwalt im Besitz eines Haftbefehls sein soll (SEM-Akten, A7/13 S. 8 und A17/14 F75 ff.), er diesen jedoch nicht beibringen konnte.</w:t>
      </w:r>
    </w:p>
    <w:p>
      <w:r>
        <w:rPr>
          <w:b/>
        </w:rPr>
        <w:t>E. 4.3.3</w:t>
      </w:r>
    </w:p>
    <w:p>
      <w:r>
        <w:t>Aus den zahlreichen eingereichten ärztlichen Berichten (aus- und inländische) kann der Beschwerdeführer schliesslich keine asylrelevante Verfolgung ableiten. Diese bestätigen lediglich seine Verletzungen an den Beinen. Dass diese Verletzungen dem Beschwerdeführer, wie von ihm dargelegt, aufgrund seiner politischen Tätigkeit zugefügt wurden, ergibt sich daraus nicht und ist aufgrund seiner unglaubhaften Aussagen im vor­instanzlichen Verfahren nicht anzunehmen. Auch aus dem eingereichten Bericht über die BNP kann er nichts zu seinen Gunsten ableiten.</w:t>
      </w:r>
    </w:p>
    <w:p>
      <w:r>
        <w:rPr>
          <w:b/>
        </w:rPr>
        <w:t>E. 4.4</w:t>
      </w:r>
    </w:p>
    <w:p>
      <w:r>
        <w:t>Zusammenfassend ist festzuhalten, dass es dem Beschwerdeführer nicht gelungen ist, eine im Zeitpunkt seiner Ausreise aus Bangladesh bestehende oder drohende, asylrechtlich relevante Gefährdung nachzuweisen oder glaubhaft zu machen.</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nach Bangladesh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Weder die allgemeine Lage im Heimatstaat (vgl. BVGE 2010/8 E. 9.5 sowie Urteil des BVGer D 3778/2013 vom 16. Juli 2015 E. 8.4 [als Referenzurteil publiziert]) noch individuelle Gründe lassen den Wegweisungsvollzug vorliegend unzumutbar erscheinen. So handelt es sich beim Beschwerdeführer um einen jungen Mann mit guter Ausbildung, der in Bangladesh über ein solides tragfähiges Beziehungsnetz verfügt. Auch medizinische Gründe stehen einem Wegweisungsvollzug nicht entgegen. Der aktuellste aktenkundige Arztbericht datiert vom 6. Juli 2016 (SEM-Akten, A42/2). Gemäss diesem wurde die ärztliche Behandlung der Beinbeschwerden des Beschwerdeführers im Jahr 2015 abgeschlossen. Der Patient habe seine Beschwerden mit Physiotherapie in den Griff gekriegt und mache regelmässig Physiotherapie- sowie Fitnessübungen. Aus medizinischer Sicht spreche nichts gegen eine weitere medizinische Behandlung im Herkunftsland. Dem vorinstanzlichen Schluss, dass aus medizinischer Sicht nichts gegen eine Wegweisung spricht, ist somit zu folgen. Im Übrigen ist in Bangladesh eine qualitativ gute medizinische Infrastruktur vorhanden, die in Städten wie Dhaka sogar dem westeuropäischen Standard entsprechen kann (hierzu Urteil des BVGer E-7153/2014 vom 1. Mai 2015 E. 6.2). Der Vollzug der Wegweisung ist zumutbar.</w:t>
      </w:r>
    </w:p>
    <w:p>
      <w:r>
        <w:rPr>
          <w:b/>
        </w:rPr>
        <w:t>E. 6.4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amtlichen Rechtsverbeiständung kann nicht stattgegeben werden, weil seine Begehren als aussichtslos zu gelten haben (Art. 65 Abs. 1 VwVG). Der Antrag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