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E-5656/2020 vom 22. Januar 2021</w:t>
      </w:r>
    </w:p>
    <w:p>
      <w:r>
        <w:t>Bundesverwaltungsgericht, 2021-01-22, DE</w:t>
      </w:r>
    </w:p>
    <w:p>
      <w:r>
        <w:rPr>
          <w:b/>
        </w:rPr>
        <w:t xml:space="preserve">Quelle: </w:t>
      </w:r>
      <w:r>
        <w:t>https://mcp.opencaselaw.ch/entscheid/bvger_E-5656_2020</w:t>
      </w:r>
    </w:p>
    <w:p>
      <w:r>
        <w:t>FR: TAF E-5656/2020 du 22 janvier 2021</w:t>
      </w:r>
    </w:p>
    <w:p>
      <w:r>
        <w:t>IT: TAF E-5656/2020 del 22 gennaio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Ausführungen betreffend das Heimatland sowie die Asylvorbringen des Beschwerdeführers ist deshalb nicht einzugehen.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 23, 24, 25 und 29 Dublin-III-VO wiederaufzunehmen (Art. 18 Abs. 1 Bst. d Dublin-III-VO). Diese Verpflichtung erlischt, wenn der Gesuchsteller oder eine andere Person gemäss Art. 18 Abs. 1 Bst. c oder d Dublin-III-VO das Hoheitsgebiet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der Fingerabdrücke des Beschwerdeführers mit der "Eurodac"-Datenbank ergab, dass dieser am (...) September 2020 in Rumänien ein Asylgesuch eingereicht hatte. Das SEM ersuchte deshalb die rumänischen Behörden am 14. Oktober 2020 um Wiederaufnahme des Beschwerdeführers gestützt auf Art. 18 Abs. 1 Bst. b Dublin-III-VO. Die rumänischen Behörden stimmten dem Gesuch um Übernahme am 27. Oktober 2020 zu. Die Zustimmung stützte sich auf Art. 18 Abs. 1 Bst. d Dublin-III-VO (vgl. SEM-Akten 1078015-21/1). Dem Schreiben der rumänischen Behörden ist auch zu entnehmen, dass der Asylantrag des Beschwerdeführers abgelehnt wurde. Dessen unbesehen ist die grundsätzliche Zuständigkeit Rumäniens gegeben. Dies wird auf Beschwerdeebene auch nicht bestritten.</w:t>
      </w:r>
    </w:p>
    <w:p>
      <w:r>
        <w:rPr>
          <w:b/>
        </w:rPr>
        <w:t>E. 5.1</w:t>
      </w:r>
    </w:p>
    <w:p>
      <w:r>
        <w:t>Die Vorinstanz begründet ihren angefochtenen Entscheid damit, dass der Wunsch des Beschwerdeführers nach einem weiteren Verbleib in der Schweiz keinen Einfluss auf die Zuständigkeit für das Asyl- und Wegweisungsverfahren habe. Es sei nicht davon auszugehen, dass das Asylverfahren und die Aufnahmebedingungen für Asylsuchende in Rumänien Schwachstellen aufwiesen, die eine Gefahr einer unmenschlichen oder entwürdigenden Behandlung im Sinne von Art. 4 der EU-Grundrechtecharta und Art. 3 EMRK mit sich bringen würden. Es gebe keine Hinweise darauf, dass er bei einer Überstellung nach Rumänien gravierenden Menschenrechtsverletzungen im Sinne von Art. 3 Abs. 2 Dublin-III-VO und Art. 3 EMRK ausgesetzt werde, in eine existenzielle Notlage gerate oder ohne Prüfung seines Asylgesuchs und unter Verletzung des Non-Refoulement-Gebots in seinen Heimatstaat überstellt werde. Es lägen keine Gründe gemäss Art. 16 Abs. 1 Dublin-III-VO vor, welche die Schweiz dazu verpflichten würden, sein Asylgesuch zu prüfen. In Rumänien sei der Zugang zu wirksamen Rechtsmitteln gewährleistet. Bei allfälligen Problemen im Rahmen des Asylverfahrens oder mit den rumänischen Behörden beziehungsweise Dritten könne er sich auf dem Rechtsweg an die zuständige Behörde in Rumänien wenden. Ausserdem habe er angegeben, gesund zu sein. In einer Gesamtwürdigung seien keine Gründe ersichtlich, welche die Schweiz veranlassen müsste, die Souveränitätsklausel anzuwenden.</w:t>
      </w:r>
    </w:p>
    <w:p>
      <w:r>
        <w:rPr>
          <w:b/>
        </w:rPr>
        <w:t>E. 5.2</w:t>
      </w:r>
    </w:p>
    <w:p>
      <w:r>
        <w:t>Der Beschwerdeführer macht geltend, dass sowohl das Asylverfahren als auch die Aufnahmebedingungen in Rumänien systemische Schwachstellen aufwiesen. Asylsuchende könnten in Rumänien kaum für ihren Lebensunterhalt aufkommen, und insbesondere die medizinische Versorgung von vulnerablen Personen sei nicht gewährleistet. Diese Situation habe sich aufgrund der Verbreitung des Coronavirus verschärft. Mit grosser Wahrscheinlichkeit werde er in Rumänien illegal inhaftiert, wie es dort an der Tagesordnung sei. Indem die Vorinstanz festgehalten habe, dass das rumänische Asylsystem keine systemischen Schwachstellen aufweise, habe sie den Sachverhalt falsch festgestellt. Er sei in Rumänien geschlagen worden, habe unter unmenschlichen Bedingungen auf der Strasse gelebt und habe panische Angst, dorthin zurückzukehren.</w:t>
      </w:r>
    </w:p>
    <w:p>
      <w:r>
        <w:rPr>
          <w:b/>
        </w:rPr>
        <w:t>E. 5.3</w:t>
      </w:r>
    </w:p>
    <w:p>
      <w:r>
        <w:t>In ihrer Vernehmlassung vom 7. Dezember 2020 hält die Vorinstanz fest, dass die Beschwerdeschrift keine neuen erheblichen Tatsachen oder Beweismittel enthalte, welche eine Änderung ihres Standpunktes rechtfertigen könnten. Es seien den Akten keine Gründe für die Annahme zu entnehmen, Rumänien würde den Grundsatz des Non-Refoulement missachten. Der Beschwerdeführer habe nicht darlegen können, dass die ihn in Rumänien erwartenden Bedingungen derart schlecht seien, dass sie zur Verletzung von Art. 4 der EU-Grundrechtecharta, Art. 3 EMRK oder Art. 3 des Übereinkommens vom 10. Dezember 1984 gegen Folter und andere grausame, unmenschliche oder erniedrigende Behandlung oder Strafe (FoK, SR 0.105) führen könnten. Ein definitiver Entscheid über ein Asylgesuch und die Wegweisung in das Heimatland stellten nicht per se eine Verletzung des Non-Refoulement-Prinzips dar. Der Beschwerdeführer habe nicht darlegen können, warum er bei einer Rückkehr nach Rumänien in eine existenzielle Notlage geraten könnte. Die Pflege im BAZ C._______ sei über den Gesundheitszustand des Beschwerdeführers im Bilde und er werde dort medizinisch versorgt. Allfällige psychiatrisch-psychologische Behandlungen sowie weitere Untersuchungen seines Allgemeinzustandes könnten auch in Rumänien vorgenommen werden. Es sei davon auszugehen, dass dort der Zugang zur notwendigen medizinischen Behandlung gewährleistet sei. Rumänien biete eine angemessene medizinische Versorgung an. Auch die suizidalen Tendenzen des Beschwerdeführers seien kein Kriterium für die Rechtfertigung der Anwendung der Ermessensklausel. Rumänien sei ein Rechtsstaat, weshalb sich der Beschwerdeführer in Bezug auf die geltend gemachte erlebte Polizeigewalt an die zuständigen Stellen wenden könne, um gegebenenfalls Anzeige zu erstatten.</w:t>
      </w:r>
    </w:p>
    <w:p>
      <w:r>
        <w:rPr>
          <w:b/>
        </w:rPr>
        <w:t>E. 5.4</w:t>
      </w:r>
    </w:p>
    <w:p>
      <w:r>
        <w:t>Der Beschwerdeführer bekräftigt in seiner Replik seine Vorbringen und merkt an, dass sein Asylgesuch in Rumänien abgelehnt worden sei. Vor diesem Hintergrund sei nicht ersichtlich, inwiefern die rumänischen Behörden ihn wiederaufnehmen und seinen Antrag auf internationalen Schutz prüfen würden. Die Schweiz komme ihren völkerrechtlichen Verpflichtungen nicht nach, wenn sie den Beschwerdeführer im Wissen darum, dass er unter Verletzung von Art. 3 EMRK nach Syrien ausgeschafft würde, nach Rumänien rückführe. Ihm sei der Zugang zum Arbeitsmarkt faktisch verwehrt. Für Flüchtlinge sei dieser Zugang enorm schwierig, weshalb es für abgewiesene Asylsuchende erst recht nicht möglich sei, eine Arbeit zu finden. Somit könne er nicht für seinen Lebensunterhalt aufkommen. Es sei des Weiteren unklar, wo er als abgewiesener Asylsuchender untergebracht würde. Es bestehe die immanente Gefahr, dass er obdachlos werde. Bei seiner Suizidgefahr handle es sich um eine tatsächliche subjektive Angst, welche erwiesen sei. Er befinde sich deshalb in Behandlung und könne in der Schweiz durch die Familie seiner Ehefrau auf ein Unterstützungsnetzwerk zurückgreifen. Hingegen habe er in Rumänien niemanden, der ihn unterstützen könne.</w:t>
      </w:r>
    </w:p>
    <w:p>
      <w:r>
        <w:rPr>
          <w:b/>
        </w:rPr>
        <w:t>E. 6.1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 4 der EU-Grundrechtecharta mit sich bringen würden. Rumänien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ist den in der Beschwerdeschrift zitierten Berichten zu entnehmen, dass die Situation von (abgewiesenen) Asylsuchenden in Rumänien teilweise problematisch ist. Dennoch geht das Gericht nicht davon aus, die bekannten Unzulänglichkeiten würden in einer Weise auftreten, welche darauf schliessen liesse, Rumänien sei grundsätzlich nicht gewillt oder nicht fähig, Schutzberechtigten die ihnen zustehenden Rechte und Ansprüche zu gewähren beziehungsweise dass diese bei Bedarf nicht auf dem Rechtsweg durchgesetzt werden könnten. Bislang haben weder das Bundesverwaltungsgericht noch der Europäische Gerichtshof für Menschenrechte (EGMR) - und im Übrigen auch nicht der Gerichtshof der Europäischen Union (EuGH) - systemische Schwachstellen im rumänischen Asylsystem erkannt. Auch das in der Beschwerdeschrift erwähnte Urteil des EGMR lässt keine solche Schlussfolgerung zu (vgl. Urteil des EGMR Muhammad und Muhammad gegen Rumänien 15. Oktober 2020, 80982/12); für eine Änderung der geltenden Rechtsprechung besteht auch in Würdigung der vom Beschwerdeführer gemachten Äusserungen zu seiner Behandlung in Rumänien keine Veranlassung (vgl. Urteil des BVGer F-2060/2019 vom 10. Mai 2019 m.w.H.; bestätigt in den Urteilen des BVGer D-6557/2020 vom 7. Januar 2021 E. 9.3; F-6222/2020 vom 16. Dezember 2020 E. 7.3; F-5474/2020 vom 13. November 2020 E. 4.1; F-4980/2020 vom 14. Oktober 2020 E. 5.2). Unter diesen Umständen ist die Anwendung von Art. 3 Abs. 2 Dublin-III-VO nicht gerechtfertigt. Die Rüge, das SEM habe den Sachverhalt falsch festgestellt, erweist sich nach dem Gesagten als unbegründet. Somit ist der Eventualantrag um Rückweisung der Sache an die Vorinstanz abzuweisen.</w:t>
      </w:r>
    </w:p>
    <w:p>
      <w:r>
        <w:rPr>
          <w:b/>
        </w:rPr>
        <w:t>E. 6.2.1</w:t>
      </w:r>
    </w:p>
    <w:p>
      <w:r>
        <w:t>Der Beschwerdeführer fordert die Anwendung der Ermessensklauseln von Art. 17 Abs. 1 Dublin-III-VO und von Art. 29a Abs. 3 der Asylverordnung 1 vom 11. August 1999 (AsylV 1, SR 142.311). Es ist daher zu prüfen, ob im Falle des Beschwerdeführers aufgrund seiner persönlichen Situation von seiner Überstellung nach Rumänien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6.2.2</w:t>
      </w:r>
    </w:p>
    <w:p>
      <w:r>
        <w:t>Die rumänischen Behörden stimmten der Wiederaufnahme des Beschwerdeführers gestützt auf Art. 18 Abs. 1 Bst. d Dublin-III-VO zu und hielten fest, dass sein Asylgesuch am 13. Oktober 2020 abgelehnt worden sei (vgl. SEM-Akten 1078015-21/1). Rumänien hat damit anerkannt, die Verantwortung für einen Wegweisungsvollzug zu übernehmen, sollte dem Beschwerdeführer kein provisorischer Aufenthaltstitel gewährt werden. Näheres dazu ist vorliegend aber nicht bekannt. Wurde das Verfahren des Beschwerdeführers in Rumänien eingestellt, ohne dass seine Asylgründe materiell geprüft wurden, wird es grundsätzlich wiederaufgenommen. Gegen einen negativen Asylentscheid kann der Beschwerdeführer den Rechtsweg beschreiten. Für den Fall, dass sein Gesuch bereits Gegenstand einer materiellen Überprüfung durch die rumänischen Behörden gebildet hat, steht es ihm frei, nach seiner Überstellung ein Mehrfach- oder ein Wiedererwägungsgesuch zu stellen (Art. 28 Abs. 2 und Art. 40-42 Verfahrensrichtlinie). So oder anders hat der Beschwerdeführer jedoch nicht hinreichend dargetan, dass der Entscheid in Rumänien in Verletzung internationaler Verfahrensbestimmungen ergangen sein könnte. Aus dem Umstand, dass das Asylgesuch des Beschwerdeführers in Rumänien abgelehnt wurde, lässt sich nicht ableiten, das Asylverfahren sei nicht korrekt durchgeführt worden oder die rumänischen Behörden würden im Fall des Beschwerdeführers das Non-Refoulement-Gebot missachten und ihn zur Ausreise in ein Land zwingen, in dem sein Leib, sein Leben oder seine Freiheit aus einem Grund nach Art. 3 Abs. 1 AsylG gefährdet ist oder in dem er Gefahr laufen würde, zur Ausreise in ein solches Land gezwungen zu werden (Urteil des BVGer E-3773/2020 vom 28. Juli 2020 E. 5.3). Der vertretene Beschwerdeführer legt keine Beweise dafür ins Recht und vermag überdies auch nicht substantiiert darzulegen, dass und inwiefern die Behandlung seines Asylgesuchs mangelhaft gewesen sein könnte. Auch die kurze Dauer seines Asylverfahrens in Rumänien vermag nicht zu belegen, dass dieses nicht korrekt durchgeführt worden sei. In diesem Zusammenhang ist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Rumänien gemäss Akten nicht zu einer Kettenabschiebung, welche gegen das Non-Refoulement-Prinzip verstossen würde, wie es in Art. 33 FK verankert ist (und sich ausserdem aus Art. 4 der EU-Grundrechtecharta, Art. 3 EMRK oder Art. 3 FoK ableiten lässt). Die Vorinstanz ist auch nicht gehalten, Zusicherungen der rumänischen Behörden bezüglich eines minimalen Schutzes und der Einhaltung des Non-Refoulement-Gebots einzuholen. Es ist vielmehr davon auszugehen, dass Rumänien seinen Verpflichtungen aus der Verfahrens- sowie der Aufnahmerichtlinie insoweit nachkommt und dabei auch das Non-Refoulement-Gebot angemessen berücksichtigt. Anzumerken gilt es an dieser Stelle, dass der Beschwerdeführer das Land verlassen hat, bevor sein Asylgesuch bearbeitet werden konnte. Seine Ausreise erfolgte mit anderen Worten freiwillig und die rumänischen Behörden haben nicht versucht, ihn nach Syrien oder in ein anderes Land zu bringen. Nichts zu seinen Gunsten abzuleiten vermag er ferner aus den auf Beschwerdeebene zitierten, nicht auf den Einzelfall Bezug nehmenden Berichten. An der eingangs zitierten Rechtsprechung ist deshalb festzuhalten und der Antrag betreffend Einholung von individuellen Zusicherungen bezüglich der Einhaltung des Non-Refoulement-Gebots ist abzuweisen. Der Beschwerdeführer hat auch keine konkreten Hinweise für die Annahme dargetan, Rumänien würde ihm dauerhaft die ihm gemäss Aufnahmerichtlinie zustehenden minimalen Lebensbedingungen vorenthalten. Es kann offenbleiben, ob sein Vorbringen, von der Polizei geschlagen worden zu sein, glaubhaft ist. Aus diesem Einzelfall könnte jedenfalls nicht geschlossen werden, dass Rumänien Asylsuchenden systematisch die ihnen gemäss Aufnahmerichtlinie zustehenden minimalen Lebensbedingungen vorenthalten würde. Bei einer allfälligen vorübergehenden Einschränkung könnte er sich im Übrigen an die dafür zuständigen Behörden wenden und die ihm zustehenden Aufnahmebedingungen auf dem Rechtsweg einfordern (vgl. Art. 26 der Aufnahmerichtlinie). Zudem steht ihm die Möglichkeit offen, die vor Ort tätigen karitativen Organisationen zu kontaktieren.</w:t>
      </w:r>
    </w:p>
    <w:p>
      <w:r>
        <w:rPr>
          <w:b/>
        </w:rPr>
        <w:t>E. 6.2.3</w:t>
      </w:r>
    </w:p>
    <w:p>
      <w:r>
        <w:t>Es ist vorliegend nicht zu erwarten, dass die ihn bei einer Rückführung zu erwartenden Bedingungen in Rumänien derart schlecht sind, dass sie zu einer Verletzung von Art. 4 der EU-Grundrechtecharta, Art. 3 EMRK oder Art. 3 FoK führen könnten (vgl. Urteil des BVGer F-3773/2020 vom 28. Juli 2020 E. 5.3).</w:t>
      </w:r>
    </w:p>
    <w:p>
      <w:r>
        <w:rPr>
          <w:b/>
        </w:rPr>
        <w:t>E. 6.3.1</w:t>
      </w:r>
    </w:p>
    <w:p>
      <w:r>
        <w:t>Der Beschwerdeführer beruft sich darauf, sein Gesundheitszustand stehe einer Überstellung entgegen; ihm gehe es psychisch sehr schlecht. Damit macht er implizit geltend, die Überstellung nach Rumänien setze ihn einer Gefahr für seine Gesundheit aus und verletze damit Art. 3 EMRK. Der Beschwerdeführer konnte indessen nicht nachweisen, dass er nicht reisefähig sei oder eine Überstellung seine Gesundheit ernsthaft gefährden würde. Dem am 29. Dezember 2020 eingereichten medizinischen Datenblatt für interne Arztbesuche im BAZ C._______ ist zu entnehmen, dass er unter Schmerzen, Alpträumen und Schlafstörungen leide. Zudem bestehe ein Verdacht auf eine Anpassungsstörung mit depressiver Reaktion sowie ein Verdacht auf eine posttraumatische Belastungsstörung (PTBS). Sein Gesundheitszustand ist nicht derart gravierend, als dass eine Überstellung nach Rumänien eine tatsächliche Gefahr (real risk) einer Verletzung von Art. 3 EMRK mit sich bringen würde (vgl. BVGE 2011/9 E. 7 mit Hinweisen auf die Rechtsprechung des EGMR sowie Urteil des EGMR P. gegen Belgien vom 13. Dezember 2016, 41738/10). Die vorgebrachten gesundheitlichen Probleme sind auch nicht von einer derartigen Schwere, dass aus humanitären Gründen von einer Überstellung abgesehen werden müsste. Zudem gab der Beschwerdeführer anlässlich des Gesprächs vom 23. Oktober 2020 an, gesund zu sein (vgl. SEM-Akten 1078015-18/5). Im Weiteren ist darauf hinzuweisen, dass die mit der Überstellung beauftragten Behörden die besonderen Bedürfnisse des Beschwerdeführers - einschliesslich die der notwendigen medizinischen Versorgung, auch in Bezug auf die Corona-Problematik - berücksichtigen würden, sollte dies erforderlich sein (vgl. Art. 31 Abs. 2 Bst. a Dublin-III-VO).</w:t>
      </w:r>
    </w:p>
    <w:p>
      <w:r>
        <w:rPr>
          <w:b/>
        </w:rPr>
        <w:t>E. 6.3.2</w:t>
      </w:r>
    </w:p>
    <w:p>
      <w:r>
        <w:t>Im Übrigen verfügt Rumänien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Rumänien dem Beschwerdeführer eine adäquate medizinische Behandlung verweigern würde.</w:t>
      </w:r>
    </w:p>
    <w:p>
      <w:r>
        <w:rPr>
          <w:b/>
        </w:rPr>
        <w:t>E. 6.4</w:t>
      </w:r>
    </w:p>
    <w:p>
      <w:r>
        <w:t>Die Überstellung des Beschwerdeführers nach Rumänien erweist sich nach dem Gesagten nicht als völkerrechtlich unzulässig.</w:t>
      </w:r>
    </w:p>
    <w:p>
      <w:r>
        <w:rPr>
          <w:b/>
        </w:rPr>
        <w:t>E. 6.5</w:t>
      </w:r>
    </w:p>
    <w:p>
      <w:r>
        <w:t>Soweit der Beschwerdeführer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SEM hat in der angefochtenen Verfügung die Äusserungen des Beschwerdeführers berücksichtigt und seinen persönlichen Umständen Rechnung getragen (vgl. SEM-Akten 1078015-24/10 S. 3f.). Den Akten sind keine Hinweise auf eine gesetzeswidrige Ermessensausübung (Art. 106 Abs. 1 Bst. a und Bst. b AsylG) durch die Vorinstanz zu entnehmen. Es hat somit innerhalb seines Ermessensspielraums gehandelt, welcher im Ergebnis vom Bundesverwaltungsgericht nicht mehr überprüft werden kann, weshalb es sich weiterer Ausführungen zur Frage eines Selbsteintritts enthält.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w:t>
      </w:r>
    </w:p>
    <w:p>
      <w:r>
        <w:t>Somit bleibt Rumänien der für die Behandlung des Asylgesuchs des Beschwerdeführers zuständige Mitgliedstaat gemäss Dublin-III-VO. Rumänien ist verpflichtet, das Asylverfahren Art. 23, 24, 25 und 29 Dublin-III-VO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Der am 13. November 2020 im Rahmen einer superprovisorischen Massnahme einstweilen angeordnete Vollzugsstopp ist wieder aufzuheben.</w:t>
      </w:r>
    </w:p>
    <w:p>
      <w:r>
        <w:rPr>
          <w:b/>
        </w:rPr>
        <w:t>E. 11</w:t>
      </w:r>
    </w:p>
    <w:p>
      <w:r>
        <w:t>Bei diesem Ausgang des Verfahrens wären die Kosten dem Beschwerde-führer aufzuerlegen (Art. 63 Abs. 1 VwVG). Aufgrund der Gewährung der unentgeltlichen Prozessführung ist jedoch auf die Erhebung von Verfahrenskosten zu verzichten.</w:t>
      </w:r>
    </w:p>
    <w:p>
      <w:r>
        <w:rPr>
          <w:b/>
        </w:rPr>
        <w:t>E. 12</w:t>
      </w:r>
    </w:p>
    <w:p>
      <w:r>
        <w:t>Das Gesuch um amtliche Rechtsverbeiständung wurde mit Zwischenverfügung vom 11. Dezember 2020 gutgeheissen und dem Beschwerdeführer die rubrizierte Rechtsanwältin Lea Hungerbühler als amtliche Rechtsbeiständin beigeordnet. Die notwendigerweise erwachsenen Parteikosten sind deshalb durch das Bundesverwaltungsgericht zu übernehmen (vgl. Art. 102m Abs. 1 Bst. a und Abs. 4 AsylG i.V.m. Art. 9-14 des Reglements vom 21. Februar 2008 über die Kosten und Entschädigungen vor dem Bundesverwaltungsgericht [VGKE, SR 173.320.2]). Nach Praxis des Gerichts werden amtlich bestellte Rechtsvertretungen mit Anwaltspatent mit einem Stundensatz von Fr. 200.- bis Fr. 220.- entschädigt (vgl. Art. 12 i.V.m. Art. 10 Abs. 2 VGKE). Als Beilage zur Beschwerde präsentiert die Rechtsvertreterin eine Honorarnote mit einem Totalbetrag von Fr. 1'858.80, welche nebst Barauslagen von Fr. 16.30 einen zeitlichen Aufwand von 4,25 Stunden der rubrizierten Rechtsanwältin zu einem Stundenansatz von Fr. 220.- und einen zeitlichen Aufwand von 8,25 Stunden der Praktikantin Nathalie Vainio zu einem Stundenansatz von Fr. 110.- ausweist. Der geltend gemachte zeitliche Aufwand erscheint indes im Verhältnis zu anderen Verfahren gleichen Umfangs zu hoch und ist um einen Drittel zu reduzieren, womit sich ein zeitlicher Aufwand von insgesamt 8,5 Stunden (davon 3 Stunden zu einem Stundenansatz von Fr. 220.- und 5,5 Stunden zu einem Stundenansatz von Fr. 110.-) ergibt. Unter Berücksichtigung der weiteren Eingaben sowie der massgeblichen Bemessungsfaktoren (vgl. Art. 8 ff. VGKE) ist das Honorar auf insgesamt Fr. 1'395.- (inkl. Auslagen) festzusetzen. Es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