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E-5656/2019 vom 2. Dezember 2019</w:t>
      </w:r>
    </w:p>
    <w:p>
      <w:r>
        <w:t>Bundesverwaltungsgericht, 2019-12-02, DE</w:t>
      </w:r>
    </w:p>
    <w:p>
      <w:r>
        <w:rPr>
          <w:b/>
        </w:rPr>
        <w:t xml:space="preserve">Quelle: </w:t>
      </w:r>
      <w:r>
        <w:t>https://mcp.opencaselaw.ch/entscheid/bvger_E-5656_2019</w:t>
      </w:r>
    </w:p>
    <w:p>
      <w:r>
        <w:t>FR: TAF E-5656/2019 du 2 décembre 2019</w:t>
      </w:r>
    </w:p>
    <w:p>
      <w:r>
        <w:t>IT: TAF E-5656/2019 del 2 dicembre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Auffassung des Gerichts hinterlässt die Argumentation der Vorinstanz im Asylpunkt nach Durchsicht der Akten im Ergebnis einen überzeugenden Eindruck.</w:t>
      </w:r>
    </w:p>
    <w:p>
      <w:r>
        <w:rPr>
          <w:b/>
        </w:rPr>
        <w:t>E. 5.1.1</w:t>
      </w:r>
    </w:p>
    <w:p>
      <w:r>
        <w:t>Die Rüge des Beschwerdeführers, wonach das SEM sich nicht mit sämtlichen seiner Vorbringen auseinandergesetzt und damit das rechtliche Gehör verletzt habe - womit sinngemäss eine Verletzung der Begründungspflicht geltend gemacht wird -, erweist sich als unbegründet. Die Vor-instanz hat in einer Gesamtwürdigung der wesentlichen Vorbringen und Eingaben des Beschwerdeführers nachvollziehbar aufgezeigt, von welchen Überlegungen sie sich leiten liess, und sich mit den wesentlichen Vorbringen hinreichend auseinandergesetzt. Namentlich wurde in der angefochtenen Verfügung ausdrücklich eine begründete Furcht des Beschwerdeführers vor Reflexverfolgung wegen seiner Brüder geprüft und verneint. Ein explizites Eingehen auf jeden einzelnen Aspekt ist zur hinreichenden Nachachtung der Begründungspflicht nicht erforderlich. Der Umstand, dass der Beschwerdeführer die Folgerungen der Vorinstanz, die sie aus der Würdigung der gesamten Vorbringen zieht, nicht teilt, ist ihr nicht als eine Verletzung der Begründungspflicht anzulasten, sondern betrifft eine materielle Frage. Für die eventualiter beantragte Rückweisung der Sache an die Vorinstanz besteht keine Veranlassung.</w:t>
      </w:r>
    </w:p>
    <w:p>
      <w:r>
        <w:rPr>
          <w:b/>
        </w:rPr>
        <w:t>E. 5.1.2</w:t>
      </w:r>
    </w:p>
    <w:p>
      <w:r>
        <w:t>Zu Recht und mit zutreffender Begründung hat die Vorinstanz ferner festgestellt, dass die Asylvorbringen des Beschwerdeführers die Anforderungen für die Zuerkennung der Flüchtlingseigenschaft nicht zu erfüllen vermögen: Ein hinreichender Kausalzusammenhang zwischen den von ihm vor-gebrachten Misshandlungen durch die Militärbehörden im Jahr 2009 und seiner Ausreise 2016 ist offenkundig nicht gegeben. Es liegen demnach keine Anhaltspunkte dafür vor, dass er wegen des Profils seiner Brüder (in der Schweiz vorläufig aufgenommen [N {...]] beziehungsweise in Deutschland als Flüchtling anerkannt) im heutigen Zeitpunkt begründete Furcht vor Verfolgungshandlungen im Sinne von Art. 3 AsylG hätte. Ungeachtet der Frage der Glaubhaftigkeit der geltend gemachten Erpressungshandlungen und Drohungen im Jahr 2015 ist ein asylrechtlich relevantes Verfolgungsmotiv der unbekannten Täter nicht erkennbar; ausserdem kann auch nach Auffassung des Gerichts von der grundsätzlichen Schutzfähigkeit und -willigkeit des sri-lankischen Staates ausgegangen werden (vgl. Urteil des BVGer E-3571/2019 vom 4. September 2019 E. 5.4 mit weiteren Hinweisen). Überdies ist festzustellen, dass der Beschwerdeführer sich gemäss seiner Darstellung vor seiner Ausreise während mehrerer Monate in Colombo aufhielt, ohne dort relevante Nachteile erlitten zu haben. Hieraus kann geschlossen werden, dass die geltend gemachten Probleme lokal begrenzt waren, und es besteht auch unter Berücksichtigung der behaupteten Repressalien des CID gegen den Vater des Beschwerdeführers kein Grund zur Annahme einer landesweiten Verfolgung asylrelevanten Ausmasses. Schliesslich ergeben sich aus den Akten keine konkreten Anhaltspunkte für eine begründete Furcht des Beschwerdeführers vor asylrelevanten Nachteilen wegen des vorgebrachten Engagements für die TNA. Die Ausführungen in der Beschwerdeeingabe vermögen keine andere Einschätzung zu rechtfertigen. Namentlich liegen keine stichhaltigen Hinweise für eine Verbindung der Erpresser zu den staatlichen Behörden vor. Es ergibt sich aus den Akten kein konkreter Grund zur Annahme, der Beschwerdeführer sei ins Visier der sri-lankischen Sicherheitskräfte geraten, namentlich, dass ihm von diesen eine Nähe zu den LTTE (Liberation Tigers of Tamil Eelam) unterstellt werden könnte. Soweit der Beschwerdeführer auf die neusten Entwicklungen der allgemeinen politischen Lage in Sri Lanka und namentlich auf den von der sri-lankischen Regierung verhängten Notstand hinweist, ist festzustellen, dass in keiner Weise erkennbar ist, wie sich diese Umstände zum heutigen Zeitpunkt konkret auf seine Situation auswirken könnten. Auch aus den von ihm zitierten allgemeinen Länderberichten, welche keinen konkreten Bezug zu seinen Vorbringen haben, kann er nichts zu seinen Gunsten ableiten.</w:t>
      </w:r>
    </w:p>
    <w:p>
      <w:r>
        <w:rPr>
          <w:b/>
        </w:rPr>
        <w:t>E. 5.1.3</w:t>
      </w:r>
    </w:p>
    <w:p>
      <w:r>
        <w:t>Zu Recht hat die Vorinstanz ferner festgestellt, dass auch unter Berücksichtigung der vom Bundesverwaltungsgericht in seinem Referenzurteil E-1866/2015 vom 15. Juli 2016 definierten Risikofaktoren (Eintrag in die Stop-List, Verbindung zu den LTTE und exilpolitische Aktivitäten) keine Anhaltspunkte für eine begründete Furcht des Beschwerdeführers vor asylrelevanter Verfolgung durch die sri-lankischen Behörden zu erkennen sind.</w:t>
      </w:r>
    </w:p>
    <w:p>
      <w:r>
        <w:rPr>
          <w:b/>
        </w:rPr>
        <w:t>E. 5.1.4</w:t>
      </w:r>
    </w:p>
    <w:p>
      <w:r>
        <w:t>Das SEM hat nach dem Gesagten zu Recht die Flüchtlingseigenschaft des Beschwerdeführers verneint und sein Asylgesuch abgewiesen.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 08; P.K. gegen Dänemark, Urteil vom 20. Januar 2011, Beschwerde Nr. 54705/08; Rechtsprechung zuletzt bestätigt in J.G. gegen Polen, Entscheidung vom 11. Juli 2017, Beschwerde Nr. 44114/14). 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In Sri Lanka herrscht weder Krieg noch eine Situation allgemeiner Gewalt. Der bewaffnete Konflikt zwischen der sri-lankischen Regierung und den LTTE ist im Mai 2009 zu Ende gegangen. In seinem Referenzurteil E-1866/2015 vom 15. Juli 2016 hat das Bundesverwaltungsgericht seine bisherige Rechtsprechung (vgl. BVGE 2011/24) bestätigt, wonach der Wegweisungsvollzug in die Ost- und Nordprovinz zumutbar ist. An dieser Einschätzung hat sich bis zum heutigen Zeitpunkt auch in Anbetracht der Terroranschläge an Ostern 2019 und der von der sri-lankischen Regierung in der Folge verhängte Ausnahmezustand nichts geändert.</w:t>
      </w:r>
    </w:p>
    <w:p>
      <w:r>
        <w:rPr>
          <w:b/>
        </w:rPr>
        <w:t>E. 7.3.2</w:t>
      </w:r>
    </w:p>
    <w:p>
      <w:r>
        <w:t>Der Beschwerdeführer stammt aus dem Distrikt (...), Nordprovinz, wohin der Vollzug grundsätzlich zumutbar ist. Es sind den Akten keine Gründe für die Annahme zu entnehmen, dass er bei einer Rückkehr in eine existenzielle Notlage geraten wird. Gemäss Aktenlage verfügt er in seinem Heimatstaat über ein familiäres und soziales Beziehungsnetz und damit über eine gesicherte Wohnsituation und Möglichkeit der Existenzsicherung.</w:t>
      </w:r>
    </w:p>
    <w:p>
      <w:r>
        <w:rPr>
          <w:b/>
        </w:rPr>
        <w:t>E. 7.3.3</w:t>
      </w:r>
    </w:p>
    <w:p>
      <w:r>
        <w:t>In Bezug auf die mit ärztlichen Unterlagen dokumentierten gesundheitlichen Probleme physischer und psychischer Art des Beschwerdeführers ist festzustellen, dass er gemäss seinen Aussagen bereits vor seiner Ausreise in ärztlicher Behandlung war und eine adäquate medizinische Behandlung im Heimatstaat grundsätzlich gewährleistet ist. Es ist daher nicht davon auszugehen, dass seine Rückkehr in den Heimatstaat zu einer raschen und lebensgefährdenden Beeinträchtigung seines Gesundheitszustandes führen wird (vgl. hierzu Urteil des BVGer D-462/2018 vom 12. Juni 2019 E. 6.3.3, sowie auch das Referenzurteil E-1866/2015 vom 15. Juli 2016 E. 14.2.2, je mit weiteren Hinweisen).</w:t>
      </w:r>
    </w:p>
    <w:p>
      <w:r>
        <w:rPr>
          <w:b/>
        </w:rPr>
        <w:t>E. 7.3.4</w:t>
      </w:r>
    </w:p>
    <w:p>
      <w:r>
        <w:t>Hinsichtlich der geltend gemachten und mit mehreren Dokumenten belegten Integrationsbemühungen des Beschwerdeführers in der Schweiz ist darauf hinzuweisen, dass eine weit fortgeschrittene Integration praxisgemäss höchstens indirekt bei der Beurteilung der Zumutbarkeit des Vollzugs eine Rolle spielen kann, nämlich wenn die betreffende Person in der Schweiz derart verwurzelt ist, dass bei Durchführung des Vollzugs (reziprok) eine Entwurzelung im Heimatstaat zu erwarten ist (vgl. zum Ganzen BVGE 2009/28 E. 9.3 ff. und 2009/51 E. 5.6 m.w.H.). Für das Vorliegen einer derartigen Situation des im Erwachsenenalter aus dem Heimatstaat ausgereisten Beschwerdeführers ergeben sich aus den Akten keine Hinweise.</w:t>
      </w:r>
    </w:p>
    <w:p>
      <w:r>
        <w:rPr>
          <w:b/>
        </w:rPr>
        <w:t>E. 7.3.5</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