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E-5654/2022 vom 15. Dezember 2022</w:t>
      </w:r>
    </w:p>
    <w:p>
      <w:r>
        <w:t>Bundesverwaltungsgericht, 2022-12-15, DE</w:t>
      </w:r>
    </w:p>
    <w:p>
      <w:r>
        <w:rPr>
          <w:b/>
        </w:rPr>
        <w:t xml:space="preserve">Quelle: </w:t>
      </w:r>
      <w:r>
        <w:t>https://mcp.opencaselaw.ch/entscheid/bvger_E-5654_2022</w:t>
      </w:r>
    </w:p>
    <w:p>
      <w:r>
        <w:t>FR: TAF E-5654/2022 du 15 décembre 2022</w:t>
      </w:r>
    </w:p>
    <w:p>
      <w:r>
        <w:t>IT: TAF E-5654/2022 del 15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erhebt verschiedene Verfahrensrügen, verbunden mit dem Antrag auf Rückweisung des Verfahrens an die Vorinstanz. Diese sind vorab zu behandeln.</w:t>
      </w:r>
    </w:p>
    <w:p>
      <w:r>
        <w:rPr>
          <w:b/>
        </w:rPr>
        <w:t>E. 3.1</w:t>
      </w:r>
    </w:p>
    <w:p>
      <w:r>
        <w:t>Der Beschwerdeführer rügt, das SEM habe die Akte 6/1 mit «E» als «abgenommene und retournierte Unterlagen bei der Registrierung» paginiert, dass weder für ihn noch die Rechtsvertretung jedoch ersichtlich sei, worum es sich dabei handeln soll (vgl. Beschwerde S. 11). Eine Verfahrenspflichtverletzung ist nicht ersichtlich. Mit «E» paginierte Akten werden dem Beschwerdeführer auf ausdrücklichen Antrag hin editiert. Die Akte 6/1, bei welcher es sich um die Kopie der schweizerischen Identitätskarte des Cousins des Beschwerdeführers inklusive dessen Kontaktangaben handelt, welche von der Rechtsvertretung mit Eingabe vom 7. September 2022 beim SEM zusammen mit einem Gesuch um Kantonszuteilung eingereicht wurde, wird dem Beschwerdeführer somit mit vorliegendem Urteil zugestellt. Der Antrag auf Frist zur Beschwerdeergänzung ist abzuweisen, da das Aktenstück nicht relevant für den Ausgang des vorliegenden Verfahrens ist.</w:t>
      </w:r>
    </w:p>
    <w:p>
      <w:r>
        <w:rPr>
          <w:b/>
        </w:rPr>
        <w:t>E. 3.2</w:t>
      </w:r>
    </w:p>
    <w:p>
      <w:r>
        <w:t>Der Beschwerdeführer rügt weiter, die Vorinstanz habe das Akteneinsichtsrecht verletzt, da sie die Akte 9/1, bei welcher es sich um einen «Rapport examen identité» handle und dieser offensichtlich entscheidrelevant sei, aus nicht ersichtlichen Gründen mit «B» als intern paginiert habe (vgl. Beschwerde S. 12). Vorliegend wurde die Akte 9/1 mit «B», somit als amtsinterne Akte paginiert, welche nicht dem Akteneinsichtsrecht unterliegt. Bei der besagten Akte handelt es sich um einen «Bericht Identitätsabklärung», in welchem vom SEM jeweils aufgelistet wird, was bis dahin über die Identität einer Person bekannt respektive noch unbekannt sei und in welchen Datenbanken die Person verzeichnet sei. Dabei handelt es sich um ein Hilfsmittel für die Verfahrensleitung. Es ist vorliegend auch nicht ersichtlich, inwiefern die besagte Akte «offensichtlich» entscheidrelevant sein soll, zumal die Identität des Beschwerdeführers in vorliegendem Verfahren nicht bezweifelt wird und auch sonst nicht ersichtlich ist, inwiefern diesem Aktenstück Beweischarakter zukommen würde. Das SEM hat den Anspruch der Beschwerdeführenden auf rechtliches Gehör, insbesondere auf Akteneinsicht, somit nicht verletzt, indem es die Akte 9/1 als interne Akte paginiert und diesbezüglich keine Akteneinsicht gewährt hat (vgl. dazu auch BGE 125 II 473 E. 4a m.w.H.).</w:t>
      </w:r>
    </w:p>
    <w:p>
      <w:r>
        <w:rPr>
          <w:b/>
        </w:rPr>
        <w:t>E. 3.3</w:t>
      </w:r>
    </w:p>
    <w:p>
      <w:r>
        <w:t>Der Beschwerdeführer macht ausserdem geltend, das SEM habe es in Verletzung des Anspruchs auf rechtliches Gehör und der Abklärungspflicht einerseits unterlassen, ihm Gelegenheit zur Stellungnahme zu den Antworten der bulgarischen Behörden zu gewähren und anderseits die Beantwortung der nicht beantworteten Fragen durch die bulgarischen Behörden zu verlangen. Insbesondere hätte das SEM nachfragen müssen, wann der Beschwerdeführer in Bulgarien eingereist, verhaftet und inhaftiert worden sei und es hätte Akten und Informationen der bulgarischen Behörden den Beschwerdeführer betreffend zwingend beiziehen müssen. Das SEM hätte ausserdem zwingend eine ausdrückliche schriftliche Zusicherung der bulgarischen Behörden betreffend die menschenwürdige Behandlung des Beschwerdeführers verlangen müssen. Dabei habe das SEM die Misshandlungen in der Kommunikation mit den bulgarischen Behörden nur implizit angedeutet und damit das Thema bewusst ausgeklammert (vgl. Beschwerde S. 12 f.). Das Gericht erblickt in der Vorgehensweise des SEM keine Verletzung von Verfahrensrechten. Das SEM hat bei den bulgarischen Behörden Abklärungen zur Zuständigkeit im Sinne der Dublin-III-VO getroffen und dabei die für die Zuständigkeitsbestimmung relevanten Informationen an die bulgarischen Behörden weitergegeben. Dass das SEM sodann nach der Zustimmung der bulgarischen Behörden um weiterführende Informationen zum Aufenthalt des Beschwerdeführers in Bulgarien ersucht hat, ist ebenfalls nicht zu beanstanden, sondern diente offensichtlich der vollständigen Sachverhaltsfeststellung, gestützt auf welche das SEM den angefochtenen Entscheid fällte. Der Beschwerdeführer seinerseits hatte im Rahmen zweier sogenannter Dublin-Gespräche die Möglichkeit, den Sachverhalt zur Frage der Zuständigkeit Bulgariens und seine individuelle Situation darzulegen. Dabei wurde ihm das rechtliche Gehör zu einem allfälligen Nichteintretensentscheid und der Zuständigkeit Bulgariens gewährt. Dass das SEM die vom Beschwerdeführer geltend gemachten Misshandlungen den bulgarischen Behörden gegenüber nicht erwähnt hat, ist nicht zu beanstanden. Entsprechende Informationen bilden keine Frage der Bestimmung der Zuständigkeit, sondern fliessen in die Prüfung ein, ob zwingende oder humanitäre Gründe für einen Selbsteintritt vorliegen. In Bezug auf die vom Beschwerdeführer geforderte Zusicherung durch Bulgarien ist sodann auf nachfolgende Erwägung 5.5 zu verweisen, zumal diese Frage materieller Natur ist.</w:t>
      </w:r>
    </w:p>
    <w:p>
      <w:r>
        <w:rPr>
          <w:b/>
        </w:rPr>
        <w:t>E. 3.4</w:t>
      </w:r>
    </w:p>
    <w:p>
      <w:r>
        <w:t>Das SEM hat es nach Ansicht des Beschwerdeführers des Weiteren unterlassen, seine Haarfarbe und die in Bulgarien erlittenen Misshandlungen zu erwähnen und zu würdigen. Damit habe das SEM die erlebte Misshandlung «krass minimisiert» und es unterlassen, seinen Einzelfall konkret zu prüfen und zu würdigen. Entgegen der Auffassung des Beschwerdeführers hat die Vorinstanz in der angefochtenen Verfügung nachvollziehbar und mit ausreichender Begründung sowie gestützt auf die geltende Rechtsprechung dargelegt, weshalb sie Bulgarien als für die Prüfung des Asylgesuchs zuständig erachtet; sie ist in ihren diesbezüglichen Ausführungen auch auf die geltend gemachten Misshandlungen in Bulgarien eingegangen. Der Umstand, dass das SEM nicht jedes Detail der Vorbringen bei der Begründung des Entscheids ausdrücklich erwähnt respektive die geltend gemachten Vorbringen anders gewichtet hat als der Beschwerdeführer, ist nicht als Verletzung des rechtlichen Gehörs zu werten. Allein der Umstand, dass der Beschwerdeführer eine andere Auffassung vertritt, begründet noch keine Verletzung von verfahrensrechtlichen Vorschriften. Die Ausführungen des Beschwerdeführers tangieren denn auch im Wesentlichen materielle und nicht formelle Aspekte. Es ergeben sich keine hinreichenden Anhaltspunkte, welche den Schluss zulassen würden, das SEM habe die Begründungspflicht verletzt. Eine Verletzung der Begründungspflicht ist auch daher nicht zu erkennen, weil es dem Beschwerdeführer möglich war, sich ein Bild über die Tragweite des vorinstanzlichen Entscheides zu machen sowie diesen ausführlich und sachgerecht anzufechten (vgl. BGE 129 I 232 E. 3.2).</w:t>
      </w:r>
    </w:p>
    <w:p>
      <w:r>
        <w:rPr>
          <w:b/>
        </w:rPr>
        <w:t>E. 3.5</w:t>
      </w:r>
    </w:p>
    <w:p>
      <w:r>
        <w:t>Nach dem Gesagten besteht keine Veranlassung, den angefochtenen Entscheid aus formellen Gründen aufzuheben und an die Vorinstanz zurückzuweisen. Die entsprechenden (Eventual-)Begehren sind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4.4</w:t>
      </w:r>
    </w:p>
    <w:p>
      <w:r>
        <w:t>Ein Abgleich der Fingerabdrücke des Beschwerdeführers mit der «Eurodac»-Datenbank ergab, dass dieser am 16. August 2022 in Bulgarien ein Asylgesuch eingereicht hatte. Das SEM ersuchte deshalb die bulgarischen Behörden am 14. Oktober 2022 um Wiederaufnahme des Beschwerdeführers. Die bulgarischen Behörden stimmten dem Gesuch um Übernahme am 25. Oktober 2022 gestützt auf Art. 18 Abs. 1 Bst. b Dublin-III-VO zu. Damit ist die grundsätzliche Zuständigkeit Bulgariens zur Durchführung des Asyl- und Wegweisungsverfahrens - ungeachtet des Einwandes des Beschwerdeführers, er sei zur Abgabe seiner Fingerabrücke in Bulgarien gezwungen worden - gegeben.</w:t>
      </w:r>
    </w:p>
    <w:p>
      <w:r>
        <w:rPr>
          <w:b/>
        </w:rPr>
        <w:t>E. 5.1</w:t>
      </w:r>
    </w:p>
    <w:p>
      <w:r>
        <w:t>Der Beschwerdeführer macht systemische Mängel im Asyl- und Aufnahmesystem Bulgariens geltend. Im Lichte von Art. 3 Abs. 2 Dublin-III-VO ist deshalb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5.2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aufwiesen, diese aber nicht systemischer Natur seien, weshalb von Überstellungen nach Bulgarien grundsätzlich nicht abzusehen sei. Korrekte Asylverfahren seien in Bulgarien nicht systembedingt unmöglich. Die tiefe Anerkennungsquote von Staatsangehörigen gewisser Länder rechtfertige es nicht, keine Überstellungen mehr vorzunehmen. Betroffene Personen könnten gegen einen negativen Asylentscheid ein wirksames Rechtsmittel einlegen. Die Bedingungen in den Aufnahme- und Haftzentren seien zwar prekär, könnten aber nicht als unmenschlich oder entwürdigend qualifiziert werden (Referenzurteil F-7195/2018 vom 11. Februar 2020 E. 6.6.1 und E. 6.6.7). Für besonders vulnerable Asylsuchende mit ernsthaften Erkrankungen könne aber gegebenenfalls die Einholung einer entsprechenden Zusicherung seitens der bulgarischen Behörden eine der Voraussetzungen für die Zulässigkeit des Wegweisungsvollzugs bilden (vgl. Referenzurteil a.a.O. E. 7.4.1 f.). Auch heute geht das Bundesverwaltungsgericht praxisgemäss nicht von systemischen Mängeln im bulgarischen Asylverfahren aus (vgl. u.a. Urteile des Bundesverwaltungsgerichts [BVGer] E-3163/2022 vom 4. August 2022 E. 6.3; D-3152/2022 vom 28. Juli 2022 E. 6.4; F-2956/2022 vom 14. Juli 2022 E. 6.3; E-2756/2022 vom 29. Juni 2022 E. 5.5 je m.w.H).</w:t>
      </w:r>
    </w:p>
    <w:p>
      <w:r>
        <w:rPr>
          <w:b/>
        </w:rPr>
        <w:t>E. 5.3</w:t>
      </w:r>
    </w:p>
    <w:p>
      <w:r>
        <w:t>Bulgarien kommt somit seinen völkerrechtlichen Verpflichtungen aus der EMRK, der FoK und der FK sowie dem Zusatzprotokoll der FK vom 31. Januar 1967 (SR 0.142.301)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5.4</w:t>
      </w:r>
    </w:p>
    <w:p>
      <w:r>
        <w:t>Festzuhalten ist überdies, dass die bulgarischen Behörden der Wiederaufnahme des Beschwerdeführers gestützt auf Art. 18 Abs. 1 Bst. b Dublin-III-VO zugestimmt haben. Daraus ist zu schliessen, dass sein Asylgesuch in Bulgarien materiell noch nicht abschliessend behandelt wurde. Insofern ist nicht zu erwarten, dass der Beschwerdeführer nach seiner Überstellung nach Bulgarien in Administrativhaft versetzt wird. Das Verfahren ist in Bulgarien wiederaufzunehmen und der Beschwerdeführer in das Asylsystem zu integrieren, woraufhin er die ihm zustehenden Rechte wahrnehmen kann (vgl. Urteile des BVGer F-556/2022 vom 10. Februar 2022 E. 3.2.2; F-3101/2022 vom 22. Juli 2022 E. 6.1; F-3473/2019 vom 25. Mai 2020 E. 5.3.1).</w:t>
      </w:r>
    </w:p>
    <w:p>
      <w:r>
        <w:rPr>
          <w:b/>
        </w:rPr>
        <w:t>E. 5.5</w:t>
      </w:r>
    </w:p>
    <w:p>
      <w:r>
        <w:t>In Bezug auf Bulgarien wurde angesichts der zahlreichen Probleme, mit denen besonders verletzliche Asylsuchende in diesem Land konfrontiert sind, im erwähnten Referenzurteil festgestellt, dass für Asylsuchende mit ernsthaften Erkrankungen gegebenenfalls die Einholung einer entsprechenden Zusicherung seitens der bulgarischen Behörden eine der Voraussetzungen für die Zulässigkeit des Wegweisungsvollzugs bildet (vgl. dazu u.a. Urteil des BVGer F-7195/2018 vom 11. Februar 2020 E. 6.6.5 und E. 7.3.2 ff.). Aus dieser Rechtsprechung kann der Beschwerdeführer nichts zu seinen Gunsten ableiten. Die von ihm im Dublin-Gespräch geschilderten gesundheitlichen Beschwerden (schlechter Schlaf, Schmerzen im Bein und Gesäss) vermögen die rechtlichen Anforderungen an eine besonders verletzliche oder vulnerable Person, für die besondere Zusicherungen einzuholen wären, nicht zu erfüllen, wobei festzuhalten ist, dass die Beschwerdeausführungen, wonach der Beschwerdeführer unter schwerwiegenden gesundheitlichen Problemen leide und eine zwingende medizinische Behandlung angezeigt sei (Beschwerde S. 14, 17), in keiner Weise substanziiert oder durch ärztliche Berichte untermauert wurden. Demzufolge ist der entsprechende Antrag zur Einholung von «Garantien» abzuweisen und das SEM hat zutreffend darauf verzichtet, bei den bulgarischen Behörden entsprechende Garantien einzuholen. Festzuhalten bleibt, dass der Beschwerdeführer sich gegebenenfalls an die zuständigen bulgarischen Behörden wenden und die ihm zustehenden Aufnahmebedingungen auf dem Rechtsweg einfordern kann (vgl. Art. 26 Aufnahmerichtlinie).</w:t>
      </w:r>
    </w:p>
    <w:p>
      <w:r>
        <w:rPr>
          <w:b/>
        </w:rPr>
        <w:t>E. 5.6</w:t>
      </w:r>
    </w:p>
    <w:p>
      <w:r>
        <w:t>Unter diesen Umständen ist die Anwendung von Art. 3 Abs. 2 Dublin-III-VO nicht gerechtfertigt.</w:t>
      </w:r>
    </w:p>
    <w:p>
      <w:r>
        <w:rPr>
          <w:b/>
        </w:rPr>
        <w:t>E. 6.1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w:t>
      </w:r>
    </w:p>
    <w:p>
      <w:r>
        <w:rPr>
          <w:b/>
        </w:rPr>
        <w:t>E. 6.2</w:t>
      </w:r>
    </w:p>
    <w:p>
      <w:r>
        <w:t>Mit seinen Ausführungen hinsichtlich der behaupteten Gewalterfahrungen seitens bulgarischer Polizisten vermag der Beschwerdeführer diese Vermutung in seinem Fall nicht umzustossen. Vorab ist hierzu festzuhalten, dass es sich hierbei um eine unbelegte Parteibehauptung handelt. Die eingereichten Fotos sind offensichtlich nicht geeignet, die vom Beschwerdeführer geschilderten Misshandlungen zu untermauern. Aber auch bei unterstellter Glaubhaftigkeit führen diese Erlebnisse nicht zu einem zwingenden Selbsteintritt. Der Beschwerdeführer hat eigenen Aussagen gemäss diese Misshandlungen in der Haft erlebt. Nach der Asylgesuchstellung und dem Transfer in das Asylaufnahmezentrum hat er solche Bedingungen offensichtlich nicht mehr angetroffen. Im Falle einer Rücküberstellung würde er direkt wieder in die dortigen Asylstrukturen aufgenommen. Die bulgarischen Behörden haben seiner Wiederaufnahme gestützt auf Art. 18 Abs. 1 Bst. b Dublin-III-VO zugestimmt. Der Beschwerdeführer wird die Wiederaufnahme seines Asylverfahrens beantragen und die ihm zustehenden Rechte wahrnehmen können (vgl. Urteile des BVGer F-556/2022 vom 10. Februar 2022 E. 3.2.2; F-3101/2022 vom 22. Juli 2022 E. 6.1; F-3473/2019 vom 25. Mai 2020 E. 5.3.1). Sofern auf Beschwerdeebene pauschal und ohne weitere Begründung im Übrigen ausgeführt wird, der Beschwerdeführer habe in Bulgarien kein Asylgesuch gestellt (vgl. Beschwerde S. 45) und sei dem Asylverfahren und Zentrum nicht zugewiesen worden (vgl. Beschwerde S. 16), widerspricht dies seinen Aussagen anlässlich des Dublin-Gesprächs und auch den Abklärungen in Bulgarien. Im Übrigen wird auf die einlässlichen und zutreffenden Erwägungen der Vorinstanz verwiesen.</w:t>
      </w:r>
    </w:p>
    <w:p>
      <w:r>
        <w:rPr>
          <w:b/>
        </w:rPr>
        <w:t>E. 6.3</w:t>
      </w:r>
    </w:p>
    <w:p>
      <w:r>
        <w:t>Auch seiner Beschreibung der Misshandlungen kann nichts entnommen werden, was die oben erwähnte Regelvermutung umstossen könnte. Sodann hat die Vorinstanz in der angefochtenen Verfügung zu Recht festgestellt, dass Bulgarien als Rechtsstaat mit einem funktionierenden Justizsystem einzustufen ist. Folglich ist von der grundsätzlichen Schutzwilligkeit und Schutzfähigkeit dieses Staates auszugehen. Bei einer allfälligen vorübergehenden Einschränkung oder ungerechten Behandlung durch eine Behörde ist er im Übrigen gehalten, sich nötigenfalls an die bulgarischen Behörden zu wenden und die ihm zustehenden Aufnahmebedingungen auf dem Rechtsweg einzufordern (vgl. Art. 26 Aufnahmerichtlinie). Es ist ihm zuzumuten, sich an das Justizwesen Bulgariens, dortige Aufsichtsbehörden oder eine dort tätige Nichtregierungsorganisation zu wenden, wenn er rechtswidrig behandelt werden sollte</w:t>
      </w:r>
    </w:p>
    <w:p>
      <w:r>
        <w:rPr>
          <w:b/>
        </w:rPr>
        <w:t>E. 6.4</w:t>
      </w:r>
    </w:p>
    <w:p>
      <w:r>
        <w:t>Der Beschwerdeführer macht implizit geltend, die Überstellung nach Bulgarien setze ihn einer Gefahr für seine Gesundheit aus und verletze damit Art. 3 EMRK. Er sei in Bulgarien Opfer von Folter und Misshandlungen geworden und es bestehe das Risiko einer Retraumatisierung.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offensichtlich nicht gegeben. Der Beschwerdeführer konnte nicht nachweisen, dass er nicht reisefähig sei oder eine Überstellung seine Gesundheit ernsthaft gefährden würde. Sein aktenkundiger Gesundheitszustand vermag eine Unzulässigkeit im Sinne dieser restriktiven Rechtsprechung nicht zu rechtfertigen. 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allfällig notwendige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6.4.1</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Unterschreiten des Ermessens zu entnehmen. Das Gericht enthält sich deshalb in diesem Zusammenhang weiterer Äusserungen.</w:t>
      </w:r>
    </w:p>
    <w:p>
      <w:r>
        <w:rPr>
          <w:b/>
        </w:rPr>
        <w:t>E. 6.5</w:t>
      </w:r>
    </w:p>
    <w:p>
      <w:r>
        <w:t>Die Schweiz ist somit zum Selbsteintritt nach Art. 17 Abs. 1 Dublin-III-VO nicht verpflichtet; auch sind in Bezug auf humanitäre Gründe im Sinne von Art. 29a Abs. 3 AsylV 1 keine Ermessensfehler festzustellen. Schliesslich sei noch erwähnt, dass der Beschwerdeführer den zuständigen Mitgliedstaat, in welchem er sich registrieren und das Asylverfahren durchlaufen möchte, nicht selber bestimmen kann (vgl. BVGE 2010/45 E. 8.3).</w:t>
      </w:r>
    </w:p>
    <w:p>
      <w:r>
        <w:rPr>
          <w:b/>
        </w:rPr>
        <w:t>E. 6.6</w:t>
      </w:r>
    </w:p>
    <w:p>
      <w:r>
        <w:t>Somit bleibt Bulgarien der für die Behandlung der Asylgesuche des Beschwerdeführers zuständige Mitgliedstaat gemäss Dublin-III-VO.</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w:t>
      </w:r>
    </w:p>
    <w:p>
      <w:r>
        <w:t>Das Beschwerdeverfahren ist mit vorliegendem Urteil abgeschlossen, weshalb sich der Antrag auf Gewährung der aufschiebenden Wirkung als gegenstandslos erweist. Der am 8. Dezember 2022 angeordnete Vollzugsstopp fällt mit vorliegendem Urteil dahin.</w:t>
      </w:r>
    </w:p>
    <w:p>
      <w:r>
        <w:rPr>
          <w:b/>
        </w:rPr>
        <w:t>E. 11</w:t>
      </w:r>
    </w:p>
    <w:p>
      <w:r>
        <w:t>Das in der Beschwerde gestellte Gesuch um Gewährung der unentgeltlichen Prozessführung ist abzuweisen, da die Begehren - wie sich aus den vorstehenden Erwägungen ergibt - als aussichtslos zu bezeichnen sind. Somit sind die Voraussetzungen von Art. 65 Abs. 1 VwVG nicht erfüllt; die Verfahrenskosten sind dem Beschwerdeführer aufzuerlegen (Art. 63 Abs. 1 VwVG) und auf insgesamt Fr. 750.- festzusetzen (Art. 1-3 des Reglements vom 21. Februar 2008 über die Kosten und Entschädigungen vor dem Bundesverwaltungsgericht [VGKE, SR 173.320.2]). Der ausdrückliche Antrag, es sei bei Abweisung des Gesuchs um unentgeltliche Prozessführung eine Nachfrist zur Bezahlung der Verfahrenskosten zu setzen (vgl. Beschwerde S. 18), ist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