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E-5650/2016 vom 12. April 2017</w:t>
      </w:r>
    </w:p>
    <w:p>
      <w:r>
        <w:t>Bundesverwaltungsgericht, 2017-04-12, DE</w:t>
      </w:r>
    </w:p>
    <w:p>
      <w:r>
        <w:rPr>
          <w:b/>
        </w:rPr>
        <w:t xml:space="preserve">Quelle: </w:t>
      </w:r>
      <w:r>
        <w:t>https://mcp.opencaselaw.ch/entscheid/bvger_E-5650_2016</w:t>
      </w:r>
    </w:p>
    <w:p>
      <w:r>
        <w:t>FR: TAF E-5650/2016 du 12 avril 2017</w:t>
      </w:r>
    </w:p>
    <w:p>
      <w:r>
        <w:t>IT: TAF E-5650/2016 del 12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AsylG).Dass dem Beschwerdeführer mit Zwischenverfügung vom 24. November 2016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(vgl. BGE 133 III 614 E. 5). Insofern ist nicht ausgeschlossen, dass eine im Rahmen der Instruktion als nicht aussichtslos beurteilte Beschwerde später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es sei dem Beschwerdeführer angesichts seines Alters nicht gelungen, glaubhaft zu machen, dass ihm im Zeitpunkt seiner Ausreise im Jahr 2012 eine baldige Einziehung in den Militärdienst gedroht habe. Die illegale Ausreise sei für sich genommen ebenso wenig asylrelevant, wie die schwierigen wirtschaftlichen Verhältnisse in Eritrea.Zur Asylrelevanz der illegalen Ausreise führte sie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Der Beschwerdeführer habe weder den Nationaldienst verweigert noch sei er desertiert, sondern sei noch als Minderjähriger aus seinem Heimatland ausgereist. Er habe folglich nicht gegen die Proclamation on National Service von 1995 verstossen. Auch sonst lägen keine Hinweise dafür vor, dass er bei einer Rückkehr nach Eritrea ernsthafte Nachteile zu gewärtigen hätte.</w:t>
      </w:r>
    </w:p>
    <w:p>
      <w:r>
        <w:rPr>
          <w:b/>
        </w:rPr>
        <w:t>E. 3.6</w:t>
      </w:r>
    </w:p>
    <w:p>
      <w:r>
        <w:t>In der Beschwerde werden die vorinstanzlichen Erwägungen zur Unglaubhaftigkeit einer Entziehung vom eritreischen Militärdienst und zur fehlenden Asylrelevanz der allgemeinen wirtschaftlichen Verhältnisse in Eritrea nicht in Frage gestellt. Hingegen wird die Auffassung vertreten, dass der Beschwerdeführer aufgrund der illegalen Ausreise bei einer Rückkehr in sein Heimatland mit ernsthaften Nachteilen zu rechnen hätte und daher als Flüchtling zu gelten habe. Zudem sei die Vorgehensweise der Vorinstanz bei der Praxisänderung unzulässig gewesen. Wie nachfolgend aufzuzeigen ist, verfangen diese Einwände nicht.</w:t>
      </w:r>
    </w:p>
    <w:p>
      <w:r>
        <w:rPr>
          <w:b/>
        </w:rPr>
        <w:t>E. 3.6.1</w:t>
      </w:r>
    </w:p>
    <w:p>
      <w:r>
        <w:t>Die Frage der flüchtlingsrechtlichen Beurteilung der illegalen Ausreise aus Eritrea ist vom Bundesverwaltungsgericht in einem Koordinationsverfahren mittlerweile geklärt worden. Nicht nur, aber auch für Minderjährige kommt das Gericht klar zum Schluss, dass allein aufgrund einer illegalen Ausreise keine begründete Furcht vor asylrechtlich beachtlicher Verfolgung angenommen werden kann (ausführlich dazu Urteil des BVGer D-7898/2015 vom 30. Januar 2017, E. 4.6-5.1 [vgl. oben, E. 3.3]). Nachdem der Beschwerdeführer neben der illegalen Ausreise keine zusätzlichen Anknüpfungspunkte für eine Verschärfung seines Profils aufweist und solche auch im vorliegenden Beschwerdeverfahren nicht behauptet, ist vorliegend nicht von einer asylrechtlich beachtlichen Verfolgung auszugehen.</w:t>
      </w:r>
    </w:p>
    <w:p>
      <w:r>
        <w:rPr>
          <w:b/>
        </w:rPr>
        <w:t>E. 3.6.2</w:t>
      </w:r>
    </w:p>
    <w:p>
      <w:r>
        <w:t>Das Bundesverwaltungsgericht hat sich zwischenzeitlich auch mit der Frage auseinandergesetzt, ob das Vorgehen der Vorinstanz bei ihrer Praxisänderung zu Eritrea zulässig gewesen ist (vgl. Urteil des BVGer D-632/2017 vom 23. Februar 2017, E. 5.1.2):Die vom SEM eingeleitete Praxisänderung wurde mittels einer Medienkonferenz vom 23. Juni 2016 publik gemacht und fand ihren Niederschlag in namhaften Medien (vgl. etwa Neue Zürcher Zeitung [NZZ], Asylbewerber aus Eritrea: Die Praxis wird etwas verschärft, erstellt am 23. Juni 2016; Tages-Anzeiger, Eritrea bestraft nicht mehr so hart wie früher, erstellt am 23. Juni 2016). Auch die SFH nahm in einer Stellungnahme unter dem Titel "Eritreer bei Asylgesuchen strenger beurteilt" vom 27. Juli 2016 Bezug auf die Praxisänderung des SEM vom 23. Juni 2016 und forderte in dieser Publikation gleichzeitig die Rücknahme der Praxisänderung. Mit dem erwähnten Referenzurteil des Bundesverwaltungsgerichts D-7898/2015 vom 30. Januar 2015 wurde die Praxisänderung des SEM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zu Recht grundsätzlich unverändert. Ebenfalls ist zu berücksichtigen, dass der Beschwerdeführer wegen Unzumutbarkeit des Wegweisungsvollzugs in der Schweiz vorläufig aufgenommen wurde und sich allfällige zusätzliche Verfahrensschritte somit nicht begünstigend im Sinne einer Verlängerung des Bleiberechts in der Schweiz auswirken würden. Mit anderen Worten entstünden ihm aufgrund eines diesbezüglichen Mangels keine nicht wiedergutzumachenden Nachteile.</w:t>
      </w:r>
    </w:p>
    <w:p>
      <w:r>
        <w:rPr>
          <w:b/>
        </w:rPr>
        <w:t>E. 3.7</w:t>
      </w:r>
    </w:p>
    <w:p>
      <w:r>
        <w:t>Wie die Vorinstanz kommt das Gericht zum Schluss, dass der Beschwerdeführer keine begründete Furcht vor ernsthaften Nachteilen im Sinne von Art. 3 AsylG geltend machen kann; entsprechend liegen keine subjektiven Nachfluchtgründe im Sinne von Art. 54 AsylG vor. Zu Recht hat die Vorinstanz die Flüchtlingseigenschaft des Beschwerdeführers verneint und sein Asylgesuch abgewiesen. Für eine Rückweisung der Sache zu neuer Entscheidung an die Vorinstanz besteht kein Anlass.</w:t>
      </w:r>
    </w:p>
    <w:p>
      <w:r>
        <w:rPr>
          <w:b/>
        </w:rPr>
        <w:t>E. 4</w:t>
      </w:r>
    </w:p>
    <w:p>
      <w:r>
        <w:t>Aus diesen Erwägungen ergibt sich, dass die angefochtene Verfügung Bundesrecht nicht verletzt und den rechtserheblichen Sachverhalt richtig sowie vollständig feststellt (Art. 106 Abs. 1 AsylG).Die von der Vorinstanz wegen Unzumutbarkeit des Vollzugs verfügte vorläufige Aufnahme bleibt dadurch unberührt.</w:t>
      </w:r>
    </w:p>
    <w:p>
      <w:r>
        <w:rPr>
          <w:b/>
        </w:rPr>
        <w:t>E. 5.1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24. November 2016 die unentgeltliche Prozessführung gewährt wurde, sind jedoch keine Verfahrenskosten zu erheben.</w:t>
      </w:r>
    </w:p>
    <w:p>
      <w:r>
        <w:rPr>
          <w:b/>
        </w:rPr>
        <w:t>E. 5.2</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w:t>
      </w:r>
    </w:p>
    <w:p>
      <w:r>
        <w:rPr>
          <w:b/>
        </w:rPr>
        <w:t>E. 5.3</w:t>
      </w:r>
    </w:p>
    <w:p>
      <w:r>
        <w:t>Der amtliche Rechtsbeistand hat eine Kostennote zu den Akten gereicht, die einen Aufwand von insgesamt fünf Stunden zu einem Stundenhonorar von Fr. 200.- ausweist. Weil es sich bei ihm nicht um einen Anwalt handelt, ist der geltend gemachte Stundenansatz auf Fr. 150.- zu kürzen. Unter Einbezug der Barauslagen ist die amtliche Entschädigung auf Fr. 815.-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