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E-5647/2023 vom 23. Oktober 2023</w:t>
      </w:r>
    </w:p>
    <w:p>
      <w:r>
        <w:t>Bundesverwaltungsgericht, 2023-10-23, DE</w:t>
      </w:r>
    </w:p>
    <w:p>
      <w:r>
        <w:rPr>
          <w:b/>
        </w:rPr>
        <w:t xml:space="preserve">Quelle: </w:t>
      </w:r>
      <w:r>
        <w:t>https://mcp.opencaselaw.ch/entscheid/bvger_E-5647_2023</w:t>
      </w:r>
    </w:p>
    <w:p>
      <w:r>
        <w:t>FR: TAF E-5647/2023 du 23 octobre 2023</w:t>
      </w:r>
    </w:p>
    <w:p>
      <w:r>
        <w:t>IT: TAF E-5647/2023 del 23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und deren Kinder haben am Verfahren vor der Vorinstanz teilgenommen, sind durch die angefochtene Verfügung besonders berührt und haben ein schutzwürdiges Interesse an deren Aufhebung beziehungsweise Änderung. Sie sind daher zur Einreichung des Rechtsmittels legitimiert (Art. 105 AsylG und Art. 48 Abs. 1 VwVG). Auf die frist- und formgerecht eingereichte Beschwerde ist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 wie vorliegend -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4.4</w:t>
      </w:r>
    </w:p>
    <w:p>
      <w:r>
        <w:t>Ein Abgleich der Fingerabdrücke der Beschwerdeführenden mit der «Eurodac»-Datenbank ergab, dass diese am (...) 2020 in Österreich ein Asylgesuch gestellt hatten (vgl. SEM-Akte [...]-12/1 und [...]-13/1). Die österreichischen Behörden stimmten dem Ersuchen der Vorinstanz unter Einbezug der vier Kinder mit Schreiben vom 26. September 2023 gestützt auf Art. 18 Abs. 1 Bst. d Dublin-III-VO ausdrücklich zu (vgl. SEM-Akte [...]-28/3). Die grundsätzliche Zuständigkeit Österreichs ist somit gegeben.</w:t>
      </w:r>
    </w:p>
    <w:p>
      <w:r>
        <w:rPr>
          <w:b/>
        </w:rPr>
        <w:t>E. 5.1</w:t>
      </w:r>
    </w:p>
    <w:p>
      <w:r>
        <w:t>Im Lichte von Art. 3 Abs. 2 Dublin-III-VO ist zu prüfen, ob es wesentliche Gründe für die Annahme gibt, das Asylverfahren und die Aufnahmebedingungen für Asylsuchende in Österreich würden systemische Schwachstellen aufweisen, die eine Gefahr einer unmenschlichen oder entwürdigenden Behandlung im Sinne des Artikels 4 der EU-Grundrechtecharta mit sich bringen würden.</w:t>
      </w:r>
    </w:p>
    <w:p>
      <w:r>
        <w:rPr>
          <w:b/>
        </w:rPr>
        <w:t>E. 5.2</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Die Beschwerdeführenden brachten diesbezüglich vor, ihre Asylgesuche seien in Österreich abgelehnt worden und die österreichischen Behörden hätten daraufhin damit begonnen, ihre Rückreise [nach] J._______ zu organisieren. Damit einhergehend sei ihnen die finanzielle Unterstützung gestrichen worden. Sie würden mangels einer (...) Staatsangehörigkeit nicht [nach] J._______ zurückkehren können. Zurück ins Camp K._______ könnten sie auch nicht, da ihnen dort Bombardierungen durch (...) Kampfflugzeuge drohe und sie somit an Leib und Leben gefährdet seien (unter Verweis auf die Kopie eines Zeitungsberichts vom 13. Oktober 2023 betreffend das Camp K._______). Eine Überstellung nach Österreich komme folglich einer indirekten Ausschaffung [nach] J._______ gleich, wo sie aufgrund ihrer kurdischen Herkunft und dem Umstand, dass sie im Camp K._______ gewesen seien, als Unterstützer der L._______ gelten und verhaftet werden würden. Die Beschwerdeführenden fordern mit diesen Vorbringen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5.3.1</w:t>
      </w:r>
    </w:p>
    <w:p>
      <w:r>
        <w:t>Die Beschwerdeführenden haben damit kein konkretes und ernsthaftes Risiko dargetan, die österreichischen Behörden würden sich weigern, sie wieder aufzunehmen. Es liegen keine Hinweise dafür vor, dass die Behandlung ihrer Asylgesuche mangelhaft gewesen sein könnte und ihre Wegweisung in Verletzung des Non-Refoulement-Prinzips verfügt worden wäre.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Vorliegend führt die Überstellung der Beschwerdeführenden nach Österreich gemäss Akten nicht zu einer Kettenabschiebung, welche gegen das Non-Refoulement-Prinzip verstossen würde, wie es in Art. 33 FK verankert ist (und sich ausserdem aus Art. 4 der EU-Grundrechtecharta, Art. 3 EMRK oder Art. 3 FoK ableiten lässt). Zudem ist darauf hinzuweisen, dass die Beschwerdeführenden allfällig neue Asylgründe sowie Wegweisungshindernisse bei den zuständigen österreichischen Behörden vorzubringen haben, da die Prüfung von Asylgründen nicht Gegenstand des vorliegenden Zuständigkeitsverfahren ist (vgl. vorhergehend E. 4).</w:t>
      </w:r>
    </w:p>
    <w:p>
      <w:r>
        <w:rPr>
          <w:b/>
        </w:rPr>
        <w:t>E. 5.3.2</w:t>
      </w:r>
    </w:p>
    <w:p>
      <w:r>
        <w:t>Die Beschwerdeführenden haben auch keine konkreten Hinweise für die Annahme dargetan, Österreich würde ihnen dauerhaft die ihnen gemäss Aufnahmerichtlinie zustehenden minimalen Lebensbedingungen vorenthalten. Bei einer allfälligen vorübergehenden Einschränkung könnten sie sich im Übrigen nötigenfalls an die österreichischen Behörden wenden und die ihnen zustehenden Aufnahmebedingungen auf dem Rechtsweg einfordern (vgl. Art. 26 Aufnahmerichtlinie). Dies ergibt sich denn auch aus der im vorinstanzlichen Verfahren eingereichten «Mitteilung über den Leistungsanspruch der GVS» (vgl. SEM-Akte [...]-26/3).</w:t>
      </w:r>
    </w:p>
    <w:p>
      <w:r>
        <w:rPr>
          <w:b/>
        </w:rPr>
        <w:t>E. 5.3.3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Die geltend gemachten physischen Beschwerden des Beschwerdeführers (Augenprobleme und Schwindel) sowie die psychischen Beschwerden der Beschwerdeführenden und insbesondere ihrer ältesten Tochter sind nicht ausgewiesen. Das SEM wies überdies zutreffend darauf hin, dass Österreich über eine ausreichende medizinische Infrastruktur verfügt, um die von den Beschwerdeführenden geltend gemachten gesundheitlichen Probleme zu behandeln. Es liegen keine Anhaltspunkte dafür vor, dass es ihnen nicht möglich wäre, im Bedarfsfall in Österreich medizinische Behandlungen in Anspruch zu nehmen (vgl. Verfügung des SEM vom 5. Oktober 2023 Ziff. II S. 6). Die schweizerischen Behörden, die mit dem Vollzug der angefochten Verfügung beauftragt sind, werden den medizinischen Umständen bei der Bestimmung der konkreten Modalitäten der Überstellung der Beschwerdeführenden und deren Kinder Rechnung tragen und die österreichischen Behörden - sofern notwendig - vorgängig in geeigneter Weise über die spezifischen medizinischen Umstände informieren (vgl. Art. 31 f. Dublin-III-VO).</w:t>
      </w:r>
    </w:p>
    <w:p>
      <w:r>
        <w:rPr>
          <w:b/>
        </w:rPr>
        <w:t>E. 5.3.4</w:t>
      </w:r>
    </w:p>
    <w:p>
      <w:r>
        <w:t>Nach dem Gesagten besteht kein Grund für einen Selbsteintritt der Schweiz in Anwendung von Art. 17 Dublin-III-VO oder von Art. 29a Abs. 3 AsylV 1. In Bezug auf das humanitäre Ermessen des SEM liegen keine Anhaltspunkte für einen Ermessensfehlgebrauch vor. Der Vollständigkeit halber ist festzuhalten, dass die Dublin-III-VO den Schutzsuchenden kein Recht einräumt, den ihren Antrag prüfenden Staat selbst auszuwählen (vgl. auch BVGE 2010/45 E. 8.3).</w:t>
      </w:r>
    </w:p>
    <w:p>
      <w:r>
        <w:rPr>
          <w:b/>
        </w:rPr>
        <w:t>E. 5.4</w:t>
      </w:r>
    </w:p>
    <w:p>
      <w:r>
        <w:t>Das SEM ist dementsprechend zu Recht auf die Asylgesuche der Beschwerdeführenden und deren Kinder nicht eingetreten. Da sie nicht im Besitz einer gültigen Aufenthalts- oder Niederlassungsbewilligung sind, wurde die Überstellung nach Österreich in Anwendung von Art. 44 AsylG ebenfalls zu Recht angeordnet (Art. 32 Bst. a AsylV 1).</w:t>
      </w:r>
    </w:p>
    <w:p>
      <w:r>
        <w:rPr>
          <w:b/>
        </w:rPr>
        <w:t>E. 6</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7</w:t>
      </w:r>
    </w:p>
    <w:p>
      <w:r>
        <w:t>Nach dem Gesagten ist die Beschwerde abzuweisen und die Verfügung des SEM zu bestätigen. Das Beschwerdeverfahren ist mit vorliegendem Urteil abgeschlossen, weshalb sich der Antrag auf Gewährung der aufschiebenden Wirkung als gegenstandslos erweist. Der angeordnete Vollzugsstopp fällt mir vorliegendem Urteil dahin.</w:t>
      </w:r>
    </w:p>
    <w:p>
      <w:r>
        <w:rPr>
          <w:b/>
        </w:rPr>
        <w:t>E. 8</w:t>
      </w:r>
    </w:p>
    <w:p>
      <w:r>
        <w:t>Das mit der Beschwerde gestellte Gesuch um Gewährung der unentgeltlichen Prozessführung ist abzuweisen, da die Begehren - wie sich aus den vorstehenden Erwägungen ergibt - aussichtlos waren, weshalb die Vor-aussetzungen von Art. 65 Abs. 1 VwVG nicht erfüllt sind. Das Gesuch um Befreiung von der Kostenvorschusspflicht wird mit dem vorliegenden Entscheid in der Sache gegenstandslos.</w:t>
      </w:r>
    </w:p>
    <w:p>
      <w:r>
        <w:rPr>
          <w:b/>
        </w:rPr>
        <w:t>E. 9</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