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E-5643/2013 vom 19. August 2014</w:t>
      </w:r>
    </w:p>
    <w:p>
      <w:r>
        <w:t>Bundesverwaltungsgericht, 2014-08-19, DE</w:t>
      </w:r>
    </w:p>
    <w:p>
      <w:r>
        <w:rPr>
          <w:b/>
        </w:rPr>
        <w:t xml:space="preserve">Quelle: </w:t>
      </w:r>
      <w:r>
        <w:t>https://mcp.opencaselaw.ch/entscheid/bvger_E-5643_2013</w:t>
      </w:r>
    </w:p>
    <w:p>
      <w:r>
        <w:t>FR: TAF E-5643/2013 du 19 août 2014</w:t>
      </w:r>
    </w:p>
    <w:p>
      <w:r>
        <w:t>IT: TAF E-5643/2013 del 19 agosto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sowie deren Begründung zu entnehmen sind und ohne Weiteres darüber befunden werden kann. Den Akten kann weder entnommen werden, wann die angefochtene Verfügung (Ausgang BFM 23. August 2013) von der Botschaft an den Beschwerdeführer weitergeleitet wurde noch wann sie dem Beschwerdeführer eröffnet worden ist. Angesichts der gesamten Umstände und dem Poststempel auf der Rechtsmitteleingabe (2. Oktober 2013) kann aber ohne Weiteres von der Rechtzeitigkeit der Beschwerde ausgegangen werden. Die Beschwerde ist demzufolge frist- und abgesehen vom sprachlichen Mangel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nach dem Gesagten einzutreten.</w:t>
      </w:r>
    </w:p>
    <w:p>
      <w:r>
        <w:rPr>
          <w:b/>
        </w:rPr>
        <w:t>E. 2</w:t>
      </w:r>
    </w:p>
    <w:p>
      <w:r>
        <w:t>Die Kognition des Bundesverwaltungsgerichts und die zulässigen Rügen richten sich nach Art. 106 Abs. 1 AsylG.</w:t>
      </w:r>
    </w:p>
    <w:p>
      <w:r>
        <w:rPr>
          <w:b/>
        </w:rPr>
        <w:t>E. 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4.1</w:t>
      </w:r>
    </w:p>
    <w:p>
      <w:r>
        <w:t>Gemäss alt Art. 19 Abs. 1 AsylG kann ein Asylgesuch im Ausland bei einer schweizerischen Vertretung gestellt werden, welche es mit einem Bericht an das Bundesamt überweist (alt Art. 20 Abs. 1 AsylG). Einer Person, die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 von Art. 3 AsylG vorliegen oder der Person zuzumuten ist, sich in einem Drittstaat um Aufnahme zu bemühen (alt Art. 52 Abs. 2 AsylG).</w:t>
      </w:r>
    </w:p>
    <w:p>
      <w:r>
        <w:rPr>
          <w:b/>
        </w:rPr>
        <w:t>E. 4.2</w:t>
      </w:r>
    </w:p>
    <w:p>
      <w:r>
        <w:t>Für die Erteilung einer Einreisebewilligung gelten restriktive Voraussetzungen, wobei den Behörden ein weiter Ermessensspielraum zu­kommt.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w:t>
      </w:r>
    </w:p>
    <w:p>
      <w:r>
        <w:t>Das BFM begründet die Ablehnung des Asylgesuches - unabhängig von der Glaubhaftigkeit der Vorbringen - damit, dass es dem Beschwerdeführer offensichtlich an Schutzbedürfigkeit fehle. Auch das Bundesverwaltungsgericht stellt nicht in Abrede, dass der Beschwerdeführer (...) der LTTE-Mitgliedschaft verdächtigt worden und in Haft genommen worden ist, wo er Misshandlungen erlebt hat. Ebenso wenig zweifelt es daran, dass er nach seiner Entlassung (...) Behelligungen ausgesetzt war. Denn auch wenn sich die Lage in Sri Lanka nach der Beendigung des Bürgerkrieges 2009 beruhigt hat, ist es nicht ausgeschlossen, dass der Beschwerdeführer als ehemaliger Unterstützer der LTTE beim Transport (...) weiterhin unter Beobachtung der sri-lankischen Behörden stand und steht; laut seinen Angaben war der Beschwerdeführer auch nach seiner Rückkehr aus E._______ (...) weiterhin Behelligungen ausgesetzt, wobei die diesbezüglichen Vorbringen eher unspezifisch und teilweise unstimmig ausfallen. Während er im ersten Schreiben vom 11. November (...) ausgeführt hatte, er erhalte täglich Telefonanrufe mit Todesdrohungen seitens Personen der Eelam People's Democratic Party (E.P.D.P., vgl. Aktenstück J1/6, S. 1), gab er bei der Anhörung zu Protokoll, unbekannte Personen seien mindestens dreimal im Monat in der Nacht bei seinem Haus vorbeigekommen und hätten an die Türe geklopft; er gehe davon aus, dass es Leute vom Militär seien. Das letzte Mal sei dies zwei Wochen vor dem Befragungstermin vom 17. März (...) geschehen (vgl. J7/15, S. 8). Unabhängig von diesen Ungereimtheiten verweist der Beschwerdeführer in seiner Beschwerdeschrift, also rund (...) Jahre später, nur noch in allgemeiner Weise darauf, dass er auch heute noch von "unidentified gunmen" gejagt werde und deshalb nicht zu Hause lebe, ohne jedoch konkrete Übergriffe seit den letzten Ausführungen geltend zu machen oder auch nur in geringster Weise zu substanziieren. Wären tatsächlich Übergriffe von einer gewissen Intensität auf den Beschwerdeführer geschehen und würde der Beschwerdeführer gegenwärtig in erheblichem Masse bedroht, ist davon auszugehen, dass dies in der Beschwerdeschrift konkret Niederschlag gefunden hätte. Seine Aussage, dass er nicht mehr zu Hause wohnen könne, relativiert sich sodann dadurch, dass er in seinen Schriften nie eine andere als seine Heimadresse angibt. Schliesslich hatte er angegeben, seit (...) seiner Arbeit als (...) in B._______ nachzugehen (vgl. J7/15, S. 3), was nicht ohne Weiteres mit dem das Leben eines effektiv "Untergetauchten" vereinbar ist. Schliesslich stellt das BFM zutreffend fest, dass es allfälligen Besuchen der sri-lankischen Sicherheitsbehörden an der nötigen Intensität fehlt, um im Sinne von Art. 3 AsylG relevant zu sein, selbst wenn eine gewisse subjektiv empfundene Furcht des Beschwerdeführers aufgrund des von ihm Erlebten und dem Umstand, dass möglicherweise LTTE-Verbündete auch wieder festgenommen worden sind, verständlich ist. Ergänzend kann, um Wiederholungen zu vermeiden, auf die ausführlichen und zutreffenden Erwägungen in der angefochtenen Verfügung verwiesen werden. Nach dem Gesagten ist zusammenfassend festzuhalten, dass der Beschwerdeführer zum jetzigen Zeitpunkt in Sri Lanka keiner Gefährdung im Sinne von Art. 3 AsylG ausgesetzt ist. Unter diesen Umständen hat das BFM dem Beschwerdeführer zu Recht die Erteilung der Einreisebewilligung verweigert und sein Asylgesuch abgewiesen, zumal keine weiteren Abklärungen nötig waren.</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