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E-5641/2015 vom 21. September 2015</w:t>
      </w:r>
    </w:p>
    <w:p>
      <w:r>
        <w:t>Bundesverwaltungsgericht, 2015-09-21, DE</w:t>
      </w:r>
    </w:p>
    <w:p>
      <w:r>
        <w:rPr>
          <w:b/>
        </w:rPr>
        <w:t xml:space="preserve">Quelle: </w:t>
      </w:r>
      <w:r>
        <w:t>https://mcp.opencaselaw.ch/entscheid/bvger_E-5641_2015</w:t>
      </w:r>
    </w:p>
    <w:p>
      <w:r>
        <w:t>FR: TAF E-5641/2015 du 21 septembre 2015</w:t>
      </w:r>
    </w:p>
    <w:p>
      <w:r>
        <w:t>IT: TAF E-5641/2015 del 21 settembre 2015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Die Beschwerde ist teilweise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(vgl. statt vieler Urteil des BVGer E-5509/2011 vom 22. November 2011).</w:t>
      </w:r>
    </w:p>
    <w:p>
      <w:r>
        <w:rPr>
          <w:b/>
        </w:rPr>
        <w:t>E. 1.3</w:t>
      </w:r>
    </w:p>
    <w:p>
      <w:r>
        <w:t>Der Beschwerdeführer ist als Verfügungsadressat zur Beschwerdeführung legitimiert (Art. 48 VwVG). Auf die frist- und formgerecht eingereichte Beschwerde (Art. 52 VwVG und Art. 108 Abs. 2 AsylG)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hat das Bundesverwaltungsgericht in einem publizierten Entscheid dargelegt und folgt dabei ständiger Praxis. Darauf kann hier verwiesen werden (BVGE 2010/57 E. 2.2 und 2.3).</w:t>
      </w:r>
    </w:p>
    <w:p>
      <w:r>
        <w:rPr>
          <w:b/>
        </w:rPr>
        <w:t>E. 5.1</w:t>
      </w:r>
    </w:p>
    <w:p>
      <w:r>
        <w:t>Die Vorinstanz gelangt in der angefochtenen Verfügung zum Schluss, die Aussagen des Beschwerdeführers hielten den Anforderungen an das Glaubhaftmachen gemäss Art. 7 AsylG nicht stand. Die Vorbringen würden in wesentlichen Punkten der allgemeinen Erfahrung und der Logik des Handelns widersprechen. Der Beschwerdeführer mache geltend, zum Christentum konvertiert zu sein. Indes sei er nie getauft worden, habe nie Kontakt zu einer christlichen Gemeinschaft gehabt und noch nie mit einem Christen über diesen Glauben gesprochen. Er habe einzig ein im Internet gefundenes Glaubensbekenntnis für sich gesprochen. Abgesehen davon, dass die Aufnahme in die christliche Gemeinschaft durch die Taufe erfolge, sei der Beschwerdeführer nicht einmal in der Lage, sich an das von ihm gesprochene Glaubensbekenntnis zu erinnern. Es sei daher davon auszugehen, dass der Beschwerdeführer gar nie konvertiert habe. Dieser Schluss werde weiter dadurch bestätigt, dass einzige Motivation für den Glaubenswechsel das Führen eines einfacheren Lebens sei. Dies sei indes nicht vereinbar mit der Aussage, durch die Konversion habe er sich in Lebensgefahr gebracht. Dass er sich nie ernsthaft mit dem Christentum auseinandergesetzt habe, zeige sich sodann daran, dass er diesbezüglich eklatante Wissenslücken habe. Der Beschwerdeführer kenne weder die zehn Gebote, noch die Festtage und ihre Bedeutung, noch das Vaterunser. Schliesslich seien seine Aussagen stereotyp, würden konstruiert wirken und seien bezüglich seines Lebenslaufes teilweise widersprüchlich.</w:t>
      </w:r>
    </w:p>
    <w:p>
      <w:r>
        <w:rPr>
          <w:b/>
        </w:rPr>
        <w:t>E. 5.2.1</w:t>
      </w:r>
    </w:p>
    <w:p>
      <w:r>
        <w:t>In der Rechtsmitteleingabe wird vorab geltend gemacht, bei der Übersetzung sei es zu Fehlern gekommen. In der Eingabe legt der Beschwerdeführer indes nicht ansatzweise dar, inwiefern es im Einzelnen zu Übersetzungsfehlern gekommen sein soll. Solches ist auch nicht ersichtlich. Aus dem erhobenen Einwand vermag er somit nichts zu seinen Gunsten abzuleiten.</w:t>
      </w:r>
    </w:p>
    <w:p>
      <w:r>
        <w:rPr>
          <w:b/>
        </w:rPr>
        <w:t>E. 5.2.2</w:t>
      </w:r>
    </w:p>
    <w:p>
      <w:r>
        <w:t>Weiter wird in der Rechtsmitteleingabe sinngemäss vorgebracht, die Vorinstanz habe den Massstab des Glaubhaftmachens nicht richtig angewendet und damit Bundesrecht verletzt. Die vorinstanzliche Beweiswürdigung ist jedoch nicht zu beanstanden. In der angefochtenen Verfügung wird im Einzelnen dargelegt, aus welchen Gründen die Vorbringen des Beschwerdeführers der allgemeinen Erfahrung sowie der Logik des Handelns widersprechen, widersprüchlich und damit insgesamt nicht glaubhaft sind. Was in der Rechtsmitteleingabe dagegen vorgebracht wird, ist nicht geeignet, die Aussagen des Beschwerdeführers in einem anderen Licht erscheinen zu lassen. Mit dem sinngemässen Wiederholen des aktenkundigen Sachverhalts, dem Anführen von Bibelzitaten und christlichen Leitsätzen vermag der Beschwerdeführer die fehlende Logik seines bisherigen Handelns in Bezug auf die behauptete Konversion sowie seine in jeder Hinsicht mangelnden Kenntnisse bezüglich des christlichen Glaubens nicht auszuräumen. Darüber hinaus bringt er auf Beschwerdeebene nicht vor, während seines nunmehr einmonatigen Aufenthalts im Flughafen Zürich-Kloten den Kontakt zu einem christlichen Geistlichen gesucht zu haben, um sich weiter mit dem christlichen Glauben auseinander zu setzen und taufen zu lassen. Dies ist umso weniger nachvollziehbar, als die Taufe die Voraussetzung für die Aufnahme in die christliche Gemeinschaft und damit die Annahme des christlichen Glaubens ist. Es ist demnach davon auszugehen, dass der Beschwerdeführer nicht zum Christentum konvertiert ist beziehungsweise gar nicht konvertieren will. Um Wiederholungen zu vermeiden, kann auf die zutreffenden Erwägungen in der angefochtenen Verfügung verwiesen werden. Die Vorinstanz hat das Asylgesuch zu Recht abgelehnt. An diesem Schluss vermögen auch die mit der Beschwerde eingereichten Beweismittel nichts zu ändern.</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Ägypten dort mit beachtlicher Wahrscheinlichkeit einer nach Art. 3 EMRK oder Art. 1 FoK verbotenen Strafe oder Behandlung ausgesetzt wäre. Der Vollzug der Wegweisung ist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Ägypten herrscht keine Situation allgemeiner Gewalt, weshalb in konstanter Praxis von der generellen Zumutbarkeit des Wegweisungsvollzugs dorthin ausgegangen wird (vgl. Urteil des BVGer E-319/2015 vom 14. April 2015, mit Verweisen). Sodann sind den Akten keine Hinweise auf individuelle, in der Person des Beschwerdeführers liegende Vollzugshindernisse wirtschaftlicher, sozialer oder gesundheitlicher Natur zu entnehmen. Um diesbezüglich Wiederholungen zu vermeiden, kann auf die zutreffenden Erwägungen in der angefochtenen Verfügung verwiesen werden. Der Vollzug der Wegweisung ist zumutbar.</w:t>
      </w:r>
    </w:p>
    <w:p>
      <w:r>
        <w:rPr>
          <w:b/>
        </w:rPr>
        <w:t>E. 7.3</w:t>
      </w:r>
    </w:p>
    <w:p>
      <w:r>
        <w:t>Nach Art. 83 Abs. 2 AuG ist der Wegweisungsvollzug schliesslich auch als möglich zu bezeichnen. Es obliegt dem Beschwerdeführer, sich bei der zuständigen ägyptischen Vertretung die für eine Rückkehr notwendigen Reisedokumente zu beschaffen (vgl. Art. 8 Abs. 4 AsylG und dazu BVGE 2008/34 E. 12).</w:t>
      </w:r>
    </w:p>
    <w:p>
      <w:r>
        <w:rPr>
          <w:b/>
        </w:rPr>
        <w:t>E. 7.4</w:t>
      </w:r>
    </w:p>
    <w:p>
      <w:r>
        <w:t>Zusammenfassend hat die Vorinstanz den Wegweisungsvollzug zu Recht als zulässig, zumutbar und möglich erachtet. Die Anordnung einer vorläufigen Aufnahme fällt damit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