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E-5640/2016 vom 29. Januar 2019</w:t>
      </w:r>
    </w:p>
    <w:p>
      <w:r>
        <w:t>Bundesverwaltungsgericht, 2019-01-29, DE</w:t>
      </w:r>
    </w:p>
    <w:p>
      <w:r>
        <w:rPr>
          <w:b/>
        </w:rPr>
        <w:t xml:space="preserve">Quelle: </w:t>
      </w:r>
      <w:r>
        <w:t>https://mcp.opencaselaw.ch/entscheid/bvger_E-5640_2016</w:t>
      </w:r>
    </w:p>
    <w:p>
      <w:r>
        <w:t>FR: TAF E-5640/2016 du 29 janvier 2019</w:t>
      </w:r>
    </w:p>
    <w:p>
      <w:r>
        <w:t>IT: TAF E-5640/2016 del 29 gennaio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w:t>
      </w:r>
    </w:p>
    <w:p>
      <w:r>
        <w:t>Die Wahrnehmung des Akteneinsichts- und Beweisführungsrechts durch den von einer Verfügung Betroffenen setzt eine Aktenführungspflicht der Verwaltung voraus (vgl. Urteil des Bundesgerichts 2C_327/2010 vom 19. Mai 2011 E. 3.2, mit weiteren Hinweisen). Vorliegend liegt zwar keine Rüge der unsorgfältigen Aktenführung vor, indessen fällt auf, dass diverse Aktenstücke nicht klar wieder zu erkennen sind, da diverse Aktenstücke im Inlandverfahren dieselbe Aktennummer tragen wie Aktenstücke im Auslandverfahren. Deshalb ist das SEM daran zu erinnern, dass die Akten grundsätzlich von Beginn weg in chronologischer Reihenfolge abgelegt und durchgehend paginiert werden müssen sowie ein Aktenverzeichnis zu erstellen ist, welches eine chronologische Auflistung sämtlicher in einem Verfahren gemachten Eingaben enthält (vgl. Urteil des Bundesgerichts 8C_319 vom 15. Dezember 2010 E. 2.2). Falls mehrere Verfahren geführt wurden, müssen die Akten klar voneinander unterschieden werden können.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 Den frauenspezifischen Fluchtgründen ist Rechnung zu tragen (Art. 3 AsylG).</w:t>
      </w:r>
    </w:p>
    <w:p>
      <w:r>
        <w:rPr>
          <w:b/>
        </w:rPr>
        <w:t>E. 4.2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4.4</w:t>
      </w:r>
    </w:p>
    <w:p>
      <w:r>
        <w:t>Asylsuchende sind verpflichtet, an der Feststellung des Sachverhalts mitzuwirken (Art. 8 AsylG und Art. 2a Asylverordnung 1 über Verfahrensfragen [Asylverordnung 1, AsylV 1, SR 142.311]). Die verwaltungsrechtliche Offizialmaxime findet unter anderem ihre Grenzen an der Mitwirkungspflicht (vgl. BVGE 2014/12 E. 6 S. 213 f.).</w:t>
      </w:r>
    </w:p>
    <w:p>
      <w:r>
        <w:rPr>
          <w:b/>
        </w:rPr>
        <w:t>E. 4.5</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w:t>
      </w:r>
    </w:p>
    <w:p>
      <w:r>
        <w:rPr>
          <w:b/>
        </w:rPr>
        <w:t>E. 5</w:t>
      </w:r>
    </w:p>
    <w:p>
      <w:r>
        <w:t>Was die geltend gemachte illegale Ausreise der Beschwerdeführerin aus Eritrea anbelangt, galt eine solche nach der bisherigen Rechtsprechung des Bundesverwaltungsgerichts als subjektiver Nachfluchtgrund (vgl. statt vieler Urteil des BVGer D-3892/2008 vom 6. April 2010, E. 5.3.3). Diese Rechtsprechung wurde aufgegeben. Das Bundesverwaltungsgericht kam im Urteil D-7898/2015 vom 30. Januar 2017 (als Referenzurteil publiziert) nach einer eingehenden Lageanalyse zum Schluss, dass die bisherige Praxis, wonach eine illegale Ausreise per se zur Flüchtlingseigenschaft führte, nicht aufrechterhalten werden könne (insb. E. 5.1). Nach der neuen Rechtsprechung sei nicht mehr mit überwiegender Wahrscheinlichkeit davon auszugehen, dass einer Person einzig aufgrund ihrer illegalen Ausreise aus Eritrea eine flüchtlingsrechtlich relevante Verfolgung drohe. Nicht asylrelevant sei ferner die Möglichkeit, dass jemand nach der Rückkehr in den Nationaldienst eingezogen werde. Nach dem neuen Urteil bedarf es nun für die Begründung der Flüchtlingseigenschaft im eritreischen Kontext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 Vor dem Hintergrund der neuen Praxis ist nicht weiter auf die Beschwerdeausführungen zur alten Praxis einzugehen.</w:t>
      </w:r>
    </w:p>
    <w:p>
      <w:r>
        <w:rPr>
          <w:b/>
        </w:rPr>
        <w:t>E. 6</w:t>
      </w:r>
    </w:p>
    <w:p>
      <w:r>
        <w:t>Was die Vorfluchtgründe der Beschwerdeführerin (Desertion) anbelangt, sind diese unglaubhaft ausgefallen. Es liegen mithin keine Anknüpfungspunkte im Sinne der neuen Rechtsprechung vor. So stehen die Festnahme, die Haft und die Zwangsversetzung im Zentrum des zweiten Asylgesuchs und bilden die Grundlage der geltend gemachten Desertion. Diese Ereignisse wurden jedoch im ersten Asylgesuch nicht ansatzweise erwähnt. Folglich sind sie als nachgeschoben, mithin als unglaubhaft zu betrachten (vgl. EMARK 1993/3 E. 3 S. 13). Auf Beschwerdeebene wird bestätigt, dass diese zentralen Elemente im ersten Asylgesuch unerwähnt blieben (Stellungnahme vom 13. Oktober 2016, S. 1). Die diesbezüglichen Erklärungsversuche gehen jedoch ins Leere. So hat die Beschwerdeführerin ihre damals schriftlich eingereichten Asylvorbringen eigenhändig unterzeichnet (SEM-Akten Auslandgesuch, A6, S. 4). Zudem handelt es sich nicht um irgendwelche Ereignisse, sondern um die zentralen drei Punkte der Fluchtgeschichte (SEM-Akten, Inlandgesuch, B3 und A16, S. 10, F98 ff.). Es wäre zu erwarten gewesen, dass sie ein solch einschneidendes Erlebnis wie eine Haft bereits im Auslandgesuch erwähnt hätte. Ihre damaligen Angaben und Lücken hat sich die Beschwerdeführerin anrechnen zu lassen. Hinzu kommt, dass ihre Aussagen zu diesen drei nachgeschobenen Sachverhaltselementen oberflächlich sowie stereotyp ausgefallen sind und nicht von Selbsterlebtem zeugen, selbst wenn ein paar originelle Details geschildert wurden. Aus diesen Gründen ist der Beschwerdeführerin denn auch nicht zu glauben, dass sie anschliessend (an die nicht glaubhaft erachtete Haft und Zwangsversetzung) anlässlich eines Urlaubs im (...), um an der Hochzeit einer Verwandten teilzunehmen, endgültig desertiert ist. Vor dem Hintergrund einer möglichen Dienstentlassung nach fünf bis zehn Jahren und der unglaubhaften Fluchtgeschichte, ist vorliegend vielmehr davon auszugehen, dass die Beschwerdeführerin entweder vom Dienst befreit oder regulär aus ihrer Dienstpflicht entlassen wurde und erst danach ausgereist ist (Urteil des BVGer D-2311/2016 vom 17. August 2017 E. 12 i.V.m. E. 13.3, ebenfalls als Referenzurteil publiziert). Auf Beschwerdeebene wird dargelegt und durch Beweismittel (Foto und Zeugnis der Berufsausbildung im Jahr 2009) untermauert, dass die Beschwerdeführerin den Militärdienst sowie die Berufsausbildung absolviert habe (z. B. Beschwerde, S. 7 f.). Es ist den Beschwerdeausführungen ferner darin beizupflichten, dass die Beschwerdeführerin durchaus wichtige Details zur Militärausbildung wusste. Mithin ist davon auszugehen, dass die Beschwerdeführerin den Militärdienst absolviert hat und regulär aus ihrer Dienstpflicht befreit wurde. Die Eingabe ihrer Schwester im Juni 2012, in welcher diese angab, dass die Beschwerdeführerin sich im Sudan befinde (SEM-Akten Auslandverfahren A1), spricht zwar gegen eine Dienstentlassung nach fünf Jahren, wenn zutrifft, dass die Beschwerdeführerin erst im (...) 2009 anschliessend an ihre Berufsausbildung den zivilen Nationaldienst antrat (SEM-Akten, B3, S. 4). Indes nimmt die Schwester erst im Oktober 2014 wieder mit dem SEM Kontakt auf (SEM-Akten, A3) und mit der Eingabe vom 12. November 2014 (SEM-Akten, A6) wird erstmals auch eine sudanesische Telefonnummer der Beschwerdeführerin mitgeteilt, was ihren dortigen Aufenthalt frühestens ab dann belegen könnte. Zu diesem Zeitpunkt waren fünf Jahre seit Dienstantritt vergangen. Ferner ist - entgegen den Beschwerdeausführungen - nicht von einer Reflexverfolgung auszugehen, zumal die Beschwerdeführerin zu keinem Zeitpunkt anlässlich der Befragung oder Anhörung Nachteile wegen der Ausreise ihrer Schwester erwähnte. Die Vorinstanz hat folglich - im Ergebnis - zu Recht das Vorliegen sowohl von Vorflucht- als auch von Nachfluchtgründen verneint und das Asylgesuch abgelehnt. Die weiteren Ausführungen auf Beschwerdeebene sowie das Gutachten vom 15. April 2018 sind nicht geeignet, hieran etwas zu ändern.</w:t>
      </w:r>
    </w:p>
    <w:p>
      <w:r>
        <w:rPr>
          <w:b/>
        </w:rPr>
        <w:t>E. 7</w:t>
      </w:r>
    </w:p>
    <w:p>
      <w:r>
        <w:t>Gemäss Art. 44 AsylG verfügt das SEM in der Regel die Wegweisung aus der Schweiz, wenn es das Asylgesuch ablehnt oder darauf nicht eintritt. Die Beschwerdeführerin und ihr Sohn verfügen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8.2.1</w:t>
      </w:r>
    </w:p>
    <w:p>
      <w:r>
        <w:t>Die Vorinstanz wies in der angefochtenen Verfügung zutreffend darauf hin, dass das Prinzip des flüchtlingsrechtlichen Non-Refoulements nur Personen schützt, die die Flüchtlingseigenschaft erfüllen. Da es der Beschwerdeführerin nicht gelungen ist, eine asylrechtlich erhebliche Gefährdung nachzuweisen oder glaubhaft zu machen (vgl. oben E. 5), kann der in Art. 5 AsylG verankerte Grundsatz der Nichtrückschiebung im vorliegenden Verfahren keine Anwendung finden.</w:t>
      </w:r>
    </w:p>
    <w:p>
      <w:r>
        <w:rPr>
          <w:b/>
        </w:rPr>
        <w:t>E. 8.2.2</w:t>
      </w:r>
    </w:p>
    <w:p>
      <w:r>
        <w:t>Die Frage der Zulässigkeit des Wegweisungsvollzugs bei anstehender Einziehung in den eritreischen Nationaldienst ist vom Bundesverwaltungsgericht in einem Grundsatzurteil geklärt worden (vgl. Urteil des BVGer E-5022/2017 vom 10. Juli 2018 [BVGE-Publikation vorgesehen], E.6.1). Das Gericht hat die Zulässigkeit des Wegweisungsvollzugs im genannten Urteil sowohl unter dem Gesichtspunkt des Zwangsarbeitsverbots (Art. 4 Abs. 2 EMRK; vgl. dazu nachfolgend, E. 8.2.2) als auch unter jenem des Verbots der Folter und der unmenschlichen und erniedrigenden Behandlung (Art. 3 EMRK) geprüft.</w:t>
      </w:r>
    </w:p>
    <w:p>
      <w:r>
        <w:rPr>
          <w:b/>
        </w:rPr>
        <w:t>E. 8.2.2.1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(ebd. E. 6.1.5.2).</w:t>
      </w:r>
    </w:p>
    <w:p>
      <w:r>
        <w:rPr>
          <w:b/>
        </w:rPr>
        <w:t>E. 8.2.2.2</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In Erwägung 6.1.6 des Grundsatzurteils E-5022/2017 führte das Bundesverwaltungsgericht diesbezüglich aus, dass keine hinreichenden Belege dafür existieren, dass Misshandlungen und sexuellen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8.2.3</w:t>
      </w:r>
    </w:p>
    <w:p>
      <w:r>
        <w:t>Weitere Gründe für die Annahme der Unzulässigkeit des Wegweisungsvollzugs ergeben sich weder aus den Akten noch aus den Rechtsmitteleingaben. Vor dem Hintergrund der seit Eingabe der Beschwerde ergangenen neuen Rechtsprechung des Bundesverwaltungsgerichts ist auf die ausführlichen Beschwerdeausführungen zur Unzulässigkeit des Wegweisungsvollzugs nicht weiter einzugehen. Der Beschwerdeführerin wird bei ihrer Rückkehr nach Eritrea inzwischen ohnehin nicht der Einzug in den Nationaldienst drohen. Die eritreischen Behörden verzichten bei Frauen, die verheiratet, schwanger oder Mutter sind, auf eine Einberufung in den Dienst. Die Beschwerdeführerin als Mutter eines Kleinkindes muss deshalb nicht damit rechnen, bei einer Rückkehr nach Eritrea in den Nationaldienst einberufen zu werden (Urteil D-2311/2016 E. 12.4 f. [als Referenzurteil publiziert]). Daran ändert auch nichts, dass sie bereits vor ihrer Mutterschaft aus dem Heimatstaat ausgereist ist (Urteil des BVGer D-532/2018 vom 7. Dezember 2018 E. 8.2.3). Der Wegweisungsvollzug ist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Nach dem erwähnten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(Urteil des BVGer E-1032/2017 vom 16. Juli 2018 E. 6.3.1, vgl. auch Referenzurteil des BVGer D-2311/2016 vom 17. August 2017 E. 16 f.).</w:t>
      </w:r>
    </w:p>
    <w:p>
      <w:r>
        <w:rPr>
          <w:b/>
        </w:rPr>
        <w:t>E. 8.4</w:t>
      </w:r>
    </w:p>
    <w:p>
      <w:r>
        <w:t>Vorliegend sind keine besonderen Umstände ersichtlich, die es als wahrscheinlich erscheinen liessen, die Beschwerdeführerin könnte im Falle einer Rückkehr nach Eritrea in eine existentiell bedrohliche Situation geraten. Die Beschwerdeführerin ist 33 Jahre alt, verfügt über eine solide Ausbildung und Familienangehörige vor Ort (siehe auch eingereichtes Zeugnis der Berufsausbildung). Auf Beschwerdeebene wird dem nichts Stichhaltiges entgegengestellt. Es wird auch nicht als übergrosse, existenzgefährdende Belastung gewertet, wenn die Beschwerdeführerin inzwischen Mutter eines Kindes geworden ist. Dem Wegweisungsvollzug steht auch im Lichte von Art. 3 des Übereinkommens vom 20. November 1989 über die Rechte des Kindes (KRK, SR 0.107), das noch vollkommen von seiner Mutter abhängig ist, nichts entgegen. Den Akten lassen sich auch im Übrigen keine Anhaltpunkte entnehmen, dass eine Rückkehr nach Eritrea unter dem Aspekt des Kindeswohls unzumutbar wäre.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 Es erweist sich somit, dass gemäss der aktualisierten Lagebeurteilung des Bundesverwaltungsgerichts der Vollzug der Wegweisung der Beschwerdeführerin und ihres Kindes nach Eritrea als zumutbar zu erachten ist.</w:t>
      </w:r>
    </w:p>
    <w:p>
      <w:r>
        <w:rPr>
          <w:b/>
        </w:rPr>
        <w:t>E. 8.5</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der Beschwerdeführerin, sich und ihrem Sohn bei der zuständigen Vertretung des Heimatstaats die für eine Rückkehr notwendigen Reisedokumente zu beschaffen (vgl. Art. 8 Abs. 4 AsylG und dazu auch BVGE 2008/34 E. 12), weshalb der Vollzug der Wegweisung auch als möglich zu bezeichnen ist (Art. 83 Abs. 2 AuG).</w:t>
      </w:r>
    </w:p>
    <w:p>
      <w:r>
        <w:rPr>
          <w:b/>
        </w:rPr>
        <w:t>E. 8.6</w:t>
      </w:r>
    </w:p>
    <w:p>
      <w:r>
        <w:t>Die Vorinstanz hat den Vollzug demnach zu Recht als zulässig, zumutbar und möglich erachtet. Damit fällt die Anordnung einer vorläufigen Aufnahme ausser Betracht (Art. 83 Abs. 1-4 AuG). Dies trifft auch für den inzwischen geborenen Sohn zu.</w:t>
      </w:r>
    </w:p>
    <w:p>
      <w:r>
        <w:rPr>
          <w:b/>
        </w:rPr>
        <w:t>E. 9</w:t>
      </w:r>
    </w:p>
    <w:p>
      <w:r>
        <w:t>Aus diesen Erwägungen ergibt sich, dass die angefochtene Verfügung Bundesrecht nicht verletzt und auch sonst nicht zu beanstanden ist (Art. 106 AsylG und Art. 49 VwVG). Die Beschwerde ist abzuweisen.</w:t>
      </w:r>
    </w:p>
    <w:p>
      <w:r>
        <w:rPr>
          <w:b/>
        </w:rPr>
        <w:t>E. 10.1</w:t>
      </w:r>
    </w:p>
    <w:p>
      <w:r>
        <w:t>Bei diesem Ausgang des Verfahrens wären die Verfahrenskosten grundsätzlich der Beschwerdeführerin aufzuerlegen (Art. 63 Abs. 1 VwVG). Da ihr jedoch mit Zwischenverfügung vom 25. April 2017 die unentgeltliche Rechtspflege im Sinne von Art. 65 Abs. 1 VwVG gewährt wurde und davon auszugehen ist, dass sie nach wie vor bedürftig ist, sind ihr keine Verfahrenskosten aufzuerlegen.</w:t>
      </w:r>
    </w:p>
    <w:p>
      <w:r>
        <w:rPr>
          <w:b/>
        </w:rPr>
        <w:t>E. 10.2</w:t>
      </w:r>
    </w:p>
    <w:p>
      <w:r>
        <w:t>Mit derselben Zwischenverfügung wurde der Beschwerdeführerin ihr Rechtsvertreter als amtlicher Rechtsbeistand gemäss Art. 110a Abs. 1 AsylG beigeordnet, weshalb diesem ein entsprechendes Honorar auszurichten ist. Es wurde eine Kostennote eingereicht. Hierin wurde ein Vertretungsaufwand von insgesamt Fr. 3'628.70 geltend gemacht, ausgehend von einem zeitlichen Aufwand von 16.65 Stunden zu einem Stundenansatz von Fr. 200.-. Der zeitliche Aufwand erscheint angemessen, jedoch geht das Bundesverwaltungsgericht bei der amtlichen Verbeiständung durch eine nicht-anwaltliche Vertretung von einem Stundenansatz von Fr. 100.- bis Fr. 150.- aus (vgl. Art. 12 i.V.m. Art. 10 Abs. 2 VGKE). Unter Berücksichtigung der massgebenden Berechnungsfaktoren (Art. 8, 9 und 11 VGKE) ist das amtliche Honorar auf gerundet Fr. 2'730.- (inkl. Auslagen und Mehrwertsteuerzuschlag) festzusetzen und Herrn Tarig Hassan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