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E-5640/2012 vom 2. Juli 2013</w:t>
      </w:r>
    </w:p>
    <w:p>
      <w:r>
        <w:t>Bundesverwaltungsgericht, 2013-07-02, DE</w:t>
      </w:r>
    </w:p>
    <w:p>
      <w:r>
        <w:rPr>
          <w:b/>
        </w:rPr>
        <w:t xml:space="preserve">Quelle: </w:t>
      </w:r>
      <w:r>
        <w:t>https://mcp.opencaselaw.ch/entscheid/bvger_E-5640_2012</w:t>
      </w:r>
    </w:p>
    <w:p>
      <w:r>
        <w:t>FR: TAF E-5640/2012 du 2 juillet 2013</w:t>
      </w:r>
    </w:p>
    <w:p>
      <w:r>
        <w:t>IT: TAF E-5640/2012 del 2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mithin einzutreten.</w:t>
      </w:r>
    </w:p>
    <w:p>
      <w:r>
        <w:rPr>
          <w:b/>
        </w:rPr>
        <w:t>E. 1.3</w:t>
      </w:r>
    </w:p>
    <w:p>
      <w:r>
        <w:t>Das Verfahren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Khartum nicht in der Lage, eine persönliche Anhörung des Beschwerdeführers durchzuführen. Das BFM begründete diesen Verzicht in der Verfügung vom 20. August 2012 mit dem begrenzten Personalbestand der Botschaft sowie den fehlenden Voraussetzungen im sicherheitstechnischen und räumlichen Bereich. Das Bundesamt ersuchte den Beschwerdeführer mit Schreiben vom 22. August 2011 um Einreichung einer ergänzenden Stellungnahme zwecks Vervollständigung des rechtserheblichen Sachverhaltes. Der Beschwerdeführer nahm in der Folge mit Eingaben vom 20. September 2011 und 29. November 2011 (Eingang bei der Botschaft in Khartum) ausführlich zu den gestellten Fragen Stellung und machte persönliche, auf ihn konkret bezogene Angaben.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eingehender Prüfung der Akten, in Übereinstimmung mit der Feststellung des BFM in der angefochtenen Verfügung, zum Schluss, dass der Beschwerdeführer in seinem Heimatstaat Eritrea ernstzunehmende Schwierigkeiten mit den heimatlichen Behörden zu befürchten hat. Ob er bei einer allfälligen Rückkehr nach Eritrea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eritreische Flüchtlinge im Sudan zuzumuten ist, im Zufluchtsland Sudan zu verbleiben.</w:t>
      </w:r>
    </w:p>
    <w:p>
      <w:r>
        <w:rPr>
          <w:b/>
        </w:rPr>
        <w:t>E. 6.2</w:t>
      </w:r>
    </w:p>
    <w:p>
      <w:r>
        <w:t>Der Beschwerdeführer befindet sich eigenen Angaben zufolge seit Mitte Oktober 2010 im Sudan (Mitte Oktober 2010 bis Ende Dezember 2010 im Flüchtlingslager Shegerab, danach von anfangs 2011 bis Mai 2011 in C._______ und seither in D._______). Aufgrund der Angaben in seinem schriftlichen Asylgesuch und seinen ergänzenden Ausführungen vom 20. September und 29. November 2011 ist davon auszugehen, dass er durch das UNHCR im Sudan als Flüchtling registriert und in der Folge dem Flüchtlingslager Shegerab zugeteilt worden ist. Folglich verfügt er über die erforderliche temporäre Bewilligung, um sich im Sudan aufhalten zu können, und geniesst weitgehend Schutz vor einer Abschiebung in sein Heimatland Eritrea. Mit diesem Schutz ist zwar nicht ein freies Aufenthaltsrecht für das ganze Land verbunden. Es ist jedoch davon auszugehen, dass der Beschwerdeführer im Sudan Schutz gefunden und die Möglichkeit hat, sich in das ihm zugewiesene Flüchtlingslager Shegerab zurückzugeben, sofern er einen weiteren Aufenthalt in der Region D._______ nicht mehr in Betracht zieht. Obschon unlängst von Deportationen von Eritreern in den Heimatstaat berichtet wurde (vgl. Urteil des Bundesverwaltungsgerichts E-1452/2012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nämlich das Profil einer Person, an deren Auslieferung die eritreische Regierung besonders interessiert wäre, schliessen liessen. Wie das BFM in der Vernehmlassung zutreffend ausgeführt hat, hat der Beschwerdeführer im Rahmen seiner schriftlichen Ausführungen zum Asylgesuch nie geltend gemacht, Eritrea wegen seiner dreijährigen Inhaftierung verlassen zu haben. Im schriftlichen Asylgesuch vom 21. Februar 2011 erwähnt der Beschwerdeführer eine dreijährige Haft zwar explizit. Als Grund für das Verlassen seines Heimatlandes nennt er jedoch das "Buda"-Phänomen sowie die politischen bzw. militärischen Tätigkeiten seines Vaters. In den ergänzenden Eingaben vom 20. September und 29. November 2011 hat er mit keinem Wort auf seine mehrjährige Inhaftierung verwiesen oder diese als ausreiserelevant geltend gemacht. In der Beschwerdeeingabe wird die dreijährige Haft in verschiedenen Militärgefängnissen demgegenüber als einschneidendes, ausreiserelevantes Vorkommnis vorgetragen. Es muss daher festgestellt werden, dass diese mehrjährige Inhaftierung des Beschwerdeführers insgesamt als unglaubhaft qualifiziert werden muss. Zutreffend wies das BFM schliesslich auf die Ungereimtheit hin, dass die Haft angeblich bis (...) August 2011 gedauert haben soll, dass sich andererseits der Beschwerdeführer aber jedenfalls im Februar 2011 bereits in Sudan aufgehalten hat. Hinzu kommt der weitere Umstand, dass der Beschwerdeführer mit an Sicherheit grenzender Wahrscheinlichkeit nach seiner angeblichen Freilassung aus dieser dreijährigen Haft kaum wieder im Rahmen des Sicherheitsdienstes eingesetzt worden wäre, wenn das eritreische Regime damals noch ein aktuelles Verfolgungsinteresse an seiner Person gehabt hätte. Die Erklärung des Beschwerdeführers, er sei nun mehr für geringfügige Tätigkeiten im Sicherheitsdienst eingesetzt worden, vermag an dieser Feststellung nichts zu ändern. Der Beschwerdeführer hält sich seit Oktober 2010 im Sudan auf und hat im Rahmen seines Asylgesuches keine konkreten Behelligungen seitens Angehöriger des eritreischen Geheimdienstes geltend gemacht. Soweit er im schriftlichen Asylgesuch vom 11. Februar 2011 festhält, es sei mehrmals nach seinem Leben getrachtet worden ("they were trying to kill me many more times"), so muss aus den Schilderungen des Beschwerdeführers der Schluss gezogen werden, dass er diese Behelligungen auf private Nachstellungen seitens Angehöriger seiner Frau oder seitens Nachbarn zurückführt. In der schriftlichen Eingabe vom 20. September 2011 führt er die im Sudan erlittenen Behelligungen ebenfalls auf diese familiären Konflikte beziehungsweise Racheakte ("revenge") und auf den "Buda"-Blick zurück. Soweit der Beschwerdeführer in seiner Rechtsmitteleingabe neu geltend macht, er werde im Sudan von Angehörigen des eritreischen Sicherheits- respektive Geheimdienstes verfolgt, so ist den Erwägungen des BFM in der Vernehmlassung zuzustimmen, dass diese Suche durch den Sicherheitsdienst in sehr pauschaler Form vorgetragen und mit keinerlei präziseren Angaben untermauert wurde. Das betreffende Vorbringen muss daher insgesamt als nachgeschoben, unsubstantiiert und daher unglaubhaft qualifiziert werden. Der Beschwerdeführer hat im Rahmen des Beschwerdeverfahrens auf seine bisherigen Arbeitseinsätze in einem Hotel oder am Flughafen bzw. als Sicherheitsverantwortlicher (...) verwiesen. Es ist nicht davon auszugehen, dass er aufgrund dieser - nicht weiter konkretisierten - Arbeitstätigkeiten Träger brisanter nachrichtendienstlicher Informationen war, weshalb er auch aus diesem Grund nicht zu einer besonders gefährdeten Risikogruppe gezählt werden kann. Zusammenfassend ist festzustellen, dass keine konkreten Hinweise darauf schliessen lassen, dass der Beschwerdeführer aufgrund eines besonderen Profils befürchten müsste, dass die eritreischen Behörden ein besonderes Interesse an der Auslieferung seiner Person hätten.</w:t>
      </w:r>
    </w:p>
    <w:p>
      <w:r>
        <w:rPr>
          <w:b/>
        </w:rPr>
        <w:t>E. 6.3</w:t>
      </w:r>
    </w:p>
    <w:p>
      <w:r>
        <w:t>Der Beschwerdeführer lebt gemäss eigenen Angaben heute in D._______, wo er bei einem Sudanesen wohnt und arbeitet. Es ist zwar nicht abzusprechen, dass die Lebensbedingungen im Sudan generell, aber auch für den Beschwerdeführer schwierig sind. Auch wenn er die Versorgung als unzureichend betrachtet, ist nicht davon auszugehen, dass seine Lebensbedingungen in D._______ derart prekär sind, dass er den Lebensunterhalt nicht weiterhin wird bestreiten können. Der alleinstehende Beschwerdeführer lebt eigenen Angaben zufolge einerseits bereits seit Oktober 2010 im Sudan, andererseits besteht für ihn - wenn auch unter erschwerten Bedingungen - die Möglichkeit, weiterhin mit der Unterstützung seines sudanesischen Freundes in D._______ seinen Unterhalt zu bestreiten. Wie bereits festgehalten, hat der Beschwerdeführer zudem die Möglichkeit, sich wieder in das ihm zugewiesene Flüchtlingslager Shegerab zurückzubegeben, sollte er einen weiteren Aufenthalt am jetzigen Wohnort nicht mehr in Betracht ziehen. Der Beschwerdeführer hat nicht konkret dargetan, dass es ihm nicht zumutbar wäre, sich wieder in das Flüchtlingslager zurückzubegeben.</w:t>
      </w:r>
    </w:p>
    <w:p>
      <w:r>
        <w:rPr>
          <w:b/>
        </w:rPr>
        <w:t>E. 6.4</w:t>
      </w:r>
    </w:p>
    <w:p>
      <w:r>
        <w:t>Auch der geltend gemachte Umstand, er habe als "Buda" in der sudanesischen Gesellschaft Benachteiligungen erfahren, vermag keine Asylrelevanz zu entfalten. Gemäss den Erkenntnissen des Bundesverwaltungsgerichts sind diese Diskriminierungen - in Übereinstimmung mit den entsprechenden Erwägungen des BFM in der angefochtenen Verfügung - heute in der eritreischen Diaspora im Sudan nicht stark verbreitet, weshalb auch nicht davon auszugehen ist, dass der Beschwerdeführer mit überwiegender Wahrscheinlichkeit solche Nachteile befürchten müsste. Auch die Nachteile, die der Beschwerdeführer im Zusammenhang mit der früheren Tätigkeit seines Vaters bei den eritreischen Sicherheitskräften befürchtet, sind zu wenig konkret dargelegt worden, um als Grundlage für die Annahme einer begründeten Furcht im Sinne des Asylgesetzes betrachtet zu werden.</w:t>
      </w:r>
    </w:p>
    <w:p>
      <w:r>
        <w:rPr>
          <w:b/>
        </w:rPr>
        <w:t>E. 6.5</w:t>
      </w:r>
    </w:p>
    <w:p>
      <w:r>
        <w:t>Aufgrund dieser Erwägungen erscheint es für den Beschwerdefüh­rer objektiv zumutbar, den im Sudan bestehenden Schutz weiterhin in Anspruch zu nehmen. Eine Schutzgewährung durch die Schweiz er­scheint somit unter Berücksichtigung aller wesentlichen Umstände, wel­che mit dem Aufenthalt des Beschwerdeführers im Sudan und seinem dortigen Status als vom UNHCR registrierter Flüchtling verbunden sind, nicht erforderlich. Zusammenfassend ergibt sich, dass das BFM zu Recht und mit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