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E-563/2015 vom 24. September 2015</w:t>
      </w:r>
    </w:p>
    <w:p>
      <w:r>
        <w:t>Bundesverwaltungsgericht, 2015-09-24, DE</w:t>
      </w:r>
    </w:p>
    <w:p>
      <w:r>
        <w:rPr>
          <w:b/>
        </w:rPr>
        <w:t xml:space="preserve">Quelle: </w:t>
      </w:r>
      <w:r>
        <w:t>https://mcp.opencaselaw.ch/entscheid/bvger_E-563_2015</w:t>
      </w:r>
    </w:p>
    <w:p>
      <w:r>
        <w:t>FR: TAF E-563/2015 du 24 septembre 2015</w:t>
      </w:r>
    </w:p>
    <w:p>
      <w:r>
        <w:t>IT: TAF E-563/2015 del 24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Die Anerkennung der Flüchtlingseigenschaft setzt zudem voraus, dass die betroffene Person landesweiter Verfolgung ausgesetzt ist und sich nicht in einem anderen Teil ihres Heimatstaates in Schutz bringen kann (vgl. Entscheidungen und Mitteilungen der Schweizerischen Asylrekurskommis-sion [EMARK] 2006 Nr. 18; BVGE 2011/51).</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2.6, EMARK 2004 Nr. 1 E. 5 S. 4 ff., m.w.H.).</w:t>
      </w:r>
    </w:p>
    <w:p>
      <w:r>
        <w:rPr>
          <w:b/>
        </w:rPr>
        <w:t>E. 4</w:t>
      </w:r>
    </w:p>
    <w:p>
      <w:r>
        <w:t>Im unter BVGE 2014/12 publizierten Urteil vom 20. Mai 2014 präzisierte das Bundesverwaltungsgericht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Für asylsuchende Personen tibetischer Ethnie, welche unglaubhafte Angaben über ihren angeblichen Sozialisierungsraum in China machen und vermutungsweise im Exil, vorab in Indien oder Nepal, gelebt hätten, beständen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anderweitigen Staatsbürgerschaft die chinesische Nationalität verliert. Diesfalls wäre die Flüchtlingseigenschaft in Bezug auf Nepal beziehungsweise Indien zu prüfen. Vermutungsweise gelte,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hätten und nach wie vor chinesische Staatsangehörige seien. Verunmögliche eine tibetische asylsuchende Person durch die Verletzung ihrer Mitwirkungspflicht allerdings die Abklärung, welchen effektiven Status sie in Nepal respektive in Indien innehabe, könne aber namentlich keine Drittstaatenabklärung im Sinne von Art. 31a Abs. 1 Bst. c AsylG stattfinden. Im Übrigen werde durch die Verheimlichung und Verschleierung der wahren Herkunft auch die Prüfung der Flüchtlingseigenschaft der betreffenden Person in Bezug auf ihr effektives Heimatland verunmöglicht (BVGE 2014/12 E. 5.9 f.).</w:t>
      </w:r>
    </w:p>
    <w:p>
      <w:r>
        <w:rPr>
          <w:b/>
        </w:rPr>
        <w:t>E. 5.1</w:t>
      </w:r>
    </w:p>
    <w:p>
      <w:r>
        <w:t>Aufgrund der vorliegenden Aktenlage besteht Grund zur Annahme, dass der Beschwerdeführer seine wahre Herkunft zu verschleiern versucht, weshalb das Bundesverwaltungsgericht der Ansicht der Vorinstanz, die vorgebrachte Sachverhaltsdarstellung vermöge nicht zu überzeugen, folgt.</w:t>
      </w:r>
    </w:p>
    <w:p>
      <w:r>
        <w:rPr>
          <w:b/>
        </w:rPr>
        <w:t>E. 5.2</w:t>
      </w:r>
    </w:p>
    <w:p>
      <w:r>
        <w:t>Die Vorinstanz hat mit der Evaluation des Alltagswissens, welche von einer amtsexternen fachkundigen Person vorgenommen worden ist, in ausführlicher, nachvollziehbarer und inhaltlich überzeugender Weise die Zweifel an der behaupteten Herkunft des Beschwerdeführers begründet. Weder die Qualifikation der sachverständigen Person noch die Nachvollziehbarkeit und Schlüssigkeit der Expertise sind zu beanstanden. Mithin ist der Vorinstanz zuzustimmen, dass überwiegende Zweifel an der Hauptsozialisation des Beschwerdeführers in Tibet bestehen. So sind insbesondere seine Angaben zu seiner angeblichen Herkunftsregion (Vegetation, Flüsse, Berge, umliegende Städte und Bezirke, Distanzen) tatsachenwidrig und unzulänglich ausgefallen. Zudem erscheinen seine Ausführungen zur Landwirtschaft, und sein Vorbringen, nie im Dorfladen gewesen zu sein und sein Dorf nur ein einziges Mal in 28 Jahren verlassen zu haben, um in eine grössere Stadt in der Umgebung zu fahren, realitätsfremd. Weder anlässlich des rechtlichen Gehörs im Rahmen der eingehenden Anhörung noch in seiner Rechtsmitteleingabe ist es dem Beschwerdeführer gelungen, diese Unzulänglichkeiten in plausibler Weise zu begründen. So erscheint die Argumentation, dass er die meiste Zeit seines Lebens zu Hause verbracht und nach aussen kaum Kontakt gehabt habe, weshalb von ihm nicht dieselben Kenntnisse erwartet werden könnten wie von einem 28-jährigen Mann in der Schweiz, wirklichkeitsfremd und mithin unbehilflich. Die Aussage, es mangle ihm an geographischen Kenntnissen, weil er nicht lange zur Schule gegangen sei, vermag die tatsachenwidrige Beschreibung seiner angeblichen Herkunftsregion überdies nicht zu erklären. So bedarf es für die Aussage, ob eine Region bewaldet ist oder nicht, keiner Bildung. Zudem ist zu erwarten, dass die Namen von Bergen und Flüssen auch über die Familie vermittelt werden. Der bezüglich der von ihm angegebenen Berge angeführte Einwand des Beschwerdeführers, er habe anlässlich des Telefongesprächs vom 19. Juni 2014 verstanden, er müsse die wichtigste Touristenattraktion in Tibet angeben, überzeugt auch nicht, ging es in diesem Abschnitt doch um die Umgebung und Landschaft in seiner angeblichen Herkunftsregion. Auch gab er neben dem "[Name des ersten Bergs]" einen weiteren Berg an, den er selbst seiner vorgegebenen Heimatregion zuordnete. Einzig bezüglich der in E._______ am häufigsten konsumierten Speise respektive der Pflicht zum Tragen von Schuluniformen kannte der Beschwerdeführer anlässlich des rechtlichen Gehörs im Rahmen der einlässlichen Anhörung plötzlich die (vermeintliche) Antwort, nachdem er diese Speise im Rahmen des Gesprächs zwecks Evaluation des Alltagswissens nicht erwähnt hatte respektive bezüglich der Uniformpflicht angegeben hatte, er wisse nicht, ob eine solche bestehe. Während ohnehin nicht ausgeschlossen werden kann, dass der Beschwerdeführer sich dieses Wissen während des Asylverfahrens aneignete, würden seine Antworten, selbst wenn sie zutreffend wären, nichts an der gestützt auf die übrigen Angaben getroffenen Gesamteinschätzung ändern, dass überwiegende Zweifel an seiner Hauptsozialisation in Tibet bestehen. So legte der Beschwerdeführer auch keine Ausweispapiere oder andere Beweismittel, die geeignet wären, etwas zur Klärung seiner Identität und seines Herkunftslandes beizutragen, ins Recht, obwohl er in Tibet einen Personalausweis beantragt haben will. Dass er diesen nach seiner Ankunft in Nepal verbrannt habe, weil er nach Tibet zurückgeschafft worden wäre, wenn die Nepalesen den Ausweis gefunden hätten, überzeugt nicht, da vor diesem Hintergrund nicht einleuchtet, wieso der Beschwerdeführer den Ausweis überhaupt auf die Reise mitgenommen hat. Vielmehr ist davon auszugehen, dass er mangels Aufenthalt in Tibet gar nie einen Personalausweis beantragen konnte, machte er anlässlich des Telefongesprächs zwecks Evaluation seines Alltagswissens doch auch unzutreffende Angaben betreffend die Beschaffung dieses Dokuments. Des Weiteren hat die Vorinstanz in der angefochtenen Verfügung detailliert und überzeugend begründet, wieso auch der vom Beschwerdeführer vorgetragene Flucht- und Reiseweg realitätsfremd ist. So erscheint es insbesondere unplausibel, dass er nicht gewusst habe, wo genau in Nepal er sich während viereinhalb Monaten aufgehalten habe. Sodann bleibt es angesichts der bekannten, strengen und EDV-unterstützten Kontrollen an den Grenzübergängen nicht nachvollziehbar, dass dem Beschwerdeführer eine Interkontinentalreise per Flugzeug gelungen sein soll, ohne eigene und echte Identitätspapiere dabei verwendet zu haben. Es bleibt auch realitätsfremd, dass der Beschwerdeführer nicht wissen will, in welche Länder er bei seiner Reise nach Europa geflogen ist. Schliesslich sind auch die geltend gemachten Vorfluchtgründe des Beschwerdeführers unglaubhaft. So erscheint es unplausibel, dass er im vollen Bewusstsein um das durchaus grosse Risiko, von den chinesischen Behörden festgenommen und misshandelt zu werden, an der [Gedenkfeier] teilgenommen hat, nur um einmal vor einem Publikum singen zu können und sich dabei nichts anderes als "komme was wolle" gedacht habe (vgl. A18/22, F103 f.). Zudem ist nicht nachvollziehbar, wie dem Beschwerdeführer schliesslich die Flucht vor den chinesischen Behörden gelungen sein soll. So erscheint es unlogisch, dass der Beschwerdeführer, der zunächst von den Militärs festgehalten worden sein will, bei steigender Militärpräsenz und angesichts der Waffen, die diese Streitkräfte seinen Angaben zufolge trugen, sich schlussendlich einfach so davonmachen konnte (vgl. A18/22, F109 ff., 116 f., 124, 134).</w:t>
      </w:r>
    </w:p>
    <w:p>
      <w:r>
        <w:rPr>
          <w:b/>
        </w:rPr>
        <w:t>E. 5.3</w:t>
      </w:r>
    </w:p>
    <w:p>
      <w:r>
        <w:t>Aufgrund der Evaluation des Alltagswissens und der schlüssig begründeten vorinstanzlichen Verfügung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somit im Sinne einer Vermutung anzunehmen, dass der Beschwerdeführer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hätte, dass das Vorliegen einer asylrelevanten Gefährdung hinsichtlich eines jener Staaten zu prüfen wäre. Das Gericht ist indes wie die Vorinstanz der Auffassung, dass der Beschwerdeführer die Mitwirkungspflicht in nicht entschuldbarer Weise verletzt hat und dadurch den Behörden nähere Abklärungen - die Abklärungspflicht der Asylbehörden findet, wie bereits festgehalten, ihre Grenze bei der Mitwirkungspflicht der asylsuchenden Person - sowie eine Rückschaffung in seinen tatsächlichen Heimatstaat verunmöglicht. Der Beschwerdeführer hat die Folgen dieses Verhaltens zu verantworten (vgl. BVGE 2014/12 E. 5.10).</w:t>
      </w:r>
    </w:p>
    <w:p>
      <w:r>
        <w:rPr>
          <w:b/>
        </w:rPr>
        <w:t>E. 5.4</w:t>
      </w:r>
    </w:p>
    <w:p>
      <w:r>
        <w:t>Zusammenfassend ist demnach festzuhalten, dass zwar davon auszugehen ist, dass der Beschwerdeführer tibetischer Ethnie ist. Jedoch entbehren seine geltend gemachten Vorbringen hinsichtlich des Ortes seiner hauptsächlichen Sozialisation, der illegalen Ausreise aus Tibet und seiner Asylvorbringen insgesamt der Glaubhaftigkeit. Folglich ist es ihm nicht gelungen, für den Zeitpunkt seiner Ausreise eine asylrechtlich relevante Verfolgung, die er in seiner Heimat vor seiner Ausreise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Die Vorinstanz hat somit zu Recht seine Flüchtlingseigenschaft verneint und das Asylgesuch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 7.1 Ist der Vollzug der Wegweisung nicht zulässig, nicht zumutbar oder nicht möglich, so regelt das Staatssekretariat das Anwesenheitsverhältnis nach den gesetzlichen Bestimmungen über die vorläufige Aufnahme (Art. 44 AsylG; Art. 83 Abs. 1 AuG [SR 142.20]). 7.2 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hat, die gegen eine entsprechende Rückkehr sprechen würden. Da der Beschwerdeführer mit seinem Verhalten genaueren Abklärungen die erforderliche Grundlage entzieht und es nicht Sache des Gerichts sein kann, sich in Mutmassungen und Spekulationen zu ergehen, können seine ohnehin nur pauschal geltend gemachten gesundheitlichen Beschwerden (Depressionen) keine weitere Berücksichtigung finden. In Übereinstimmung mit der Dispositivziffer 4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 7.3 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9</w:t>
      </w:r>
    </w:p>
    <w:p>
      <w:r>
        <w:t>Bei diesem Ausgang des Verfahrens sind die Kosten dem Be­schwerdeführer aufzuerlegen (Art. 63 Abs. 1 VwVG) und auf Fr. 600.- festzusetzen (Art. 1-3 des Reglements vom 21. Februar 2008 über die Kosten und Entschädigungen vor dem Bundesverwaltungsgericht [VGKE, SR 173.320.2]). Sie sind durch den in gleicher Höhe geleisteten Kostenvorschuss gedeckt und mit diesem entsprechend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