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E-5638/2006 vom 27. Mai 2009</w:t>
      </w:r>
    </w:p>
    <w:p>
      <w:r>
        <w:t>Bundesverwaltungsgericht, 2009-05-27, DE</w:t>
      </w:r>
    </w:p>
    <w:p>
      <w:r>
        <w:rPr>
          <w:b/>
        </w:rPr>
        <w:t xml:space="preserve">Quelle: </w:t>
      </w:r>
      <w:r>
        <w:t>https://mcp.opencaselaw.ch/entscheid/bvger_E-5638_2006</w:t>
      </w:r>
    </w:p>
    <w:p>
      <w:r>
        <w:t>FR: TAF E-5638/2006 du 27 mai 2009</w:t>
      </w:r>
    </w:p>
    <w:p>
      <w:r>
        <w:t>IT: TAF E-5638/2006 del 27 maggio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hat am 1. Januar 2007 die Beurteilung der am 31. Dezember 2006 bei der ARK hängigen Rechtsmittel übernommen.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wurde zu Recht eingetreten (Art. 6 AsylG i.V.m. Art. 48 Abs. 1; Art. 108 Abs. 1 AsylG, Art. 52 Abs. 1 VwVG).</w:t>
      </w:r>
    </w:p>
    <w:p>
      <w:r>
        <w:rPr>
          <w:b/>
        </w:rPr>
        <w:t>E. 3.1</w:t>
      </w:r>
    </w:p>
    <w:p>
      <w:r>
        <w:t>Gemäss Art. 2 Abs. 1 AsylG gewährt die Schweiz Flüchtlingen grundsätzlich Asyl. Flüchtlinge sind Personen,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Glaubhaftmachen bedeutet ferner - im Gegensatz zum strikten Beweis - ein reduziertes Beweismass und lässt durchaus Raum für gewisse Einwände und Zweifel an den Vorbringen des Gesuchstellers. Entscheidend ist, ob Gründe, die für die Richtigkeit der Sachverhaltsdarstellung des Gesuchtstellers sprechen, überwiegen oder nicht. Dabei ist auf eine objektivierte Sichtweise abzustellen (Art. 7 AsylG; Entscheidungen und Mitteilungen der Schweizerischen Asylrekurskommission [EMARK] 2004 Nr. 1 E. 5a S. 4 f. ).</w:t>
      </w:r>
    </w:p>
    <w:p>
      <w:r>
        <w:rPr>
          <w:b/>
        </w:rPr>
        <w:t>E. 4.1</w:t>
      </w:r>
    </w:p>
    <w:p>
      <w:r>
        <w:t>Vorab ist mit der Vorinstanz festzuhalten, dass der Beschwerdeführer im Verlauf des Verfahrens seine Vorbringen in wesentlichen Punkten des geltend gemachten Sachverhaltes angereichert und gesteigert hat, um seinem Asylgesuch mehr Gewicht zu verleihen. Dieser Umstand vermag jedoch den Ausgang des Verfahrens nicht in entscheidwesentlicher Hinsicht zu prägen. Das Bundesverwaltungsgericht gelangt in Würdigung aller aktenkundigen Aspekte zum Schluss, dass die Vorinstanz die Asylvorbringen des Beschwerdeführers im Ergebnis zu Unrecht als flüchtlingsrechtlich nicht erheblich erachtet hat. Als grundlegender Sachverhalt machte der Beschwerdeführer unbestrittenermassen glaubhaft geltend, dass sein Vater anlässlich eines Angriffs der Janjaweed (arabisch-stämmige Milizen) im Jahre 2003 ums Leben gekommen ist und er selbst von dieser überfallen, verprügelt, bestohlen und verletzt liegengelassen wurde.</w:t>
      </w:r>
    </w:p>
    <w:p>
      <w:r>
        <w:rPr>
          <w:b/>
        </w:rPr>
        <w:t>E. 4.2</w:t>
      </w:r>
    </w:p>
    <w:p>
      <w:r>
        <w:t>Gestützt auf die noch von der ARK vorgenommene Lageanalyse zu Darfur (EMARK 2006 Nr. 25 E. 5 S. 267 ff.) ergibt sich zusammengefasst folgendes Bild: Die zunehmende Dürre in der Region Darfur führte seit den 80er-Jahren des letzten Jahrhunderts zu vermehrten Konflikten um Wasser und Weideflächen zwischen den Landbesitzern und landlosen Nomaden. Die bestehenden ethnischen Spannungen machten sich dabei zunächst nur hintergründig bemerkbar. Nach und nach weitete sich der Konflikt jedoch aus, was unkontrolliertes Banditentum, extreme Gewalt und Menschenrechtsverletzungen zur Folge hatte. Dabei trat die ethnische Komponente immer stärker zutage. Bereits in den Jahren ab 1980 begann die sudanesische Regierung, arabischstämmige Nomaden in Darfur mit Waffen zu beliefern, um so ihrem Ziel, die Region zu arabisieren und zu islamisieren, zum Durchbruch zu verhelfen. Im Jahr 1987 schlossen sich 27 arabische Nomadengruppen zu einer "Arabischen Allianz" zusammen und erklärten nichtarabischen Gruppen den Krieg. In der Folge formierten sich mehrere Oppositionsbewegungen, welche sich gegen die Marginalisierungspolitik der Zentralregierung in Khartoum wandten. Diese Rebellengruppen setzten sich mehrheitlich aus Angehörigen nichtarabischstämmiger Volksgruppen zusammen. Als Antwort auf die zunehmende Gewaltbereitschaft, welche auch die Aufständischen an den Tag legten, insbesondere den Angriff auf militärische Einrichtungen in Norddarfur im April 2003, begann die Regierung in der Folge, arabischstämmige Milizen (sogenannte Janjaweed) zu unterstützen. Diese gingen von da an mit Billigung und Unterstützung der Regierung massiv gegen Angehörige nichtarabischstämmiger Ethnien vor. Es kam zu Massenvertreibungen, Tötungen, Brandschatzungen, Zerstörung von Dörfern, Vergewaltigungen, Folter, Verschleppungen und weiteren Verbrechen. Bis heute gehen sowohl die Kämpfe zwischen den Konfliktparteien als auch die Ausschreitungen gegen die Zivilbevölkerung weiter, obwohl am 5. Mai 2006 ein Friedensabkommen unterzeichnet wurde und inzwischen die UNAMID (African Union/United Nations Hybrid Operation in Darfur) in Darfur stationiert ist, welche insbesondere zum Ziel hat, dem Friedensabkommen zur Durchsetzung zu verhelfen und die Zivilbevölkerung vor Übergriffen zu schützen (vgl. die Resolution 1769 des UN-Sicherheitsrates vom 31. Juli 2007).</w:t>
      </w:r>
    </w:p>
    <w:p>
      <w:r>
        <w:rPr>
          <w:b/>
        </w:rPr>
        <w:t>E. 4.3</w:t>
      </w:r>
    </w:p>
    <w:p>
      <w:r>
        <w:t>Mit Blick auf die vorstehend dargelegte allgemeine Lage in Darfur sowie die vom Beschwerdeführer glaubhaft geschilderten Ereignisse ist festzustellen, dass ihm eine begründete Furcht vor zukünftiger asylrelevanter Verfolgung zugestanden werden muss.</w:t>
      </w:r>
    </w:p>
    <w:p>
      <w:r>
        <w:rPr>
          <w:b/>
        </w:rPr>
        <w:t>E. 4.3.1</w:t>
      </w:r>
    </w:p>
    <w:p>
      <w:r>
        <w:t>Begründete Furcht vor künftiger asylrelevanter Verfolgung liegt dann vor, wenn konkreter Anlass besteht anzunehmen, Letztere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Benachteiligungen als wahrscheinlich und dementsprechend die Furcht davor als realistisch und nachvollziehbar erscheinen lassen (vgl. EMARK 2005 Nr. 21 E. 7.1 S. 193, mit weiteren Hinweisen).</w:t>
      </w:r>
    </w:p>
    <w:p>
      <w:r>
        <w:rPr>
          <w:b/>
        </w:rPr>
        <w:t>E. 4.3.2</w:t>
      </w:r>
    </w:p>
    <w:p>
      <w:r>
        <w:t>Der Beschwerdeführer stammt aus Darfur und gehört einer nichtarabischen Ethnie an. Er konnte glaubhaft dartun, dass er infolge seiner ethnischen Zugehörigkeit gezielt Opfer eines massiven Übergriffs durch die Janjaweed geworden ist. Angesichts der Situation in Darfur muss der erlebte Übergriff als ernsthafter Nachteil im Sinne des Asylgesetzes qualifiziert werden, diente doch die von der Janjaweed ausgeübte Gewalt wie oben dargelegt der ethnischen Säuberungder Region. Zwar verblieb der Beschwerdeführer noch zwei Jahre im Heimatstaat, dies jedoch als Mitglied der LEM. Diese geriet zunehmend unter Druck, weshalb der Beschwerdeführer schliesslich ausreiste. Von einem Unterbruch des Kausalzusammenhangs zwischen Verfolgung und Flucht ist deshalb nicht auszugehen. Der Beschwerdeführer erfüllte demnach im Zeitpunkt der Ausreise die Flüchtlingseigenschaft.</w:t>
      </w:r>
    </w:p>
    <w:p>
      <w:r>
        <w:rPr>
          <w:b/>
        </w:rPr>
        <w:t>E. 4.3.3</w:t>
      </w:r>
    </w:p>
    <w:p>
      <w:r>
        <w:t>Die allgemeine Lage in Darfur hat sich seit der Ausreise des Beschwerdeführers im Juni 2005 nicht verbessert. Nach wie vor kommt es regelmässig zu Kämpfen zwischen den Konfliktparteien, und auch die ethnisch motivierten Übergriffe auf die Zivilbevölkerung halten an. Angesichts der bereits erlittenen Vorverfolgung und der unveränderten Sicherheitslage in darfur erscheint die Furcht des Beschwerdeführers realistisch und nachvollziehbar, bei einer Rückkehr in seine Heimatregion Darfur erneut ins Visier der Janjaweed zu geraten, zumal seine ethnische Zugehörigkeit leicht erkennbar ist. Die zu befürchtende Verfolgung ist als ernsthafter Nachteil im Sinne von Art. 3 Abs. 2 AsylG zu qualifizieren. Die absehbare Verfolgung durch die Janjaweed kann auch als individuell respektive gezielt bezeichnet werden; denn der Beschwerdeführer muss nicht lediglich befürchten, ein zufälliges Opfer allgemeiner Bürgerkriegswirren zu werden, sondern er muss damit rechnen, durch die Milizen wegen seiner afrikanischen Ethnie individuell verfolgt zu werden (vgl. dazu EMARK 1998 Nr. 17 E. 4.c.bb S. 153). Im Weiteren kann zurzeit nicht von einer bestehenden Fluchtalternative innerhalb des Sudans ausgegangen werden. Gemäss Rechtsprechung (vgl. EMARK 1996 Nr. 1) müsste der Beschwerdeführer am Zufluchtsort Schutz finden können, an dessen Effektivität hohe Anforderungen zu stellen sind. Angesichts der Tatsache, dass die Gewalt und die Menschenrechtsverletzungen in Darfur durch staatliche Streitkräfte respektive durch die von der Zentralregierung unterstützten Janjaweed-Milizen ausgeübt werden, ist nicht davon auszugehen, dass der Beschwerdeführer an einem Ort innerhalb der Landesgrenzen Sudans vor Verfolgung sicher wäre. Gemäss UNHCR leben alleine in der Hauptstadt Khartoum ungefähr zwei Millionen Binnenflüchtlinge - davon etwa 10-15 Prozent aus Darfur - in Lagern und Siedlungen in der Stadt und deren Umgebung verteilt. Diese seien täglich Belästigungen und Gewalttaten von Seiten der Behörden ausgesetzt. Flüchtlinge aus Darfur würden aus Lagern vertrieben und zurück nach Darfur deportiert; die Gefährdung und Bedrohung sei dermassen verbreitet, dass nicht von einer innerstaatlichen Fluchtalternative ausgegangen werden könne (vgl. EMARK 2006 Nr. 25 E. 8.3 S. 278 f., mit weiteren Hinweisen). Es erscheint unrealistisch, dass der Beschwerdeführer bei den sudanesischen Behörden Schutz vor Verfolgung durch die Milizen finden würde. Vorliegend gibt es demnach hinreichende Anhaltspunkte für eine konkrete Bedrohung des Beschwerdeführers, welche auch bei anderen Menschen in vergleichbarer Situation Furcht vor Verfolgung hervorrufen würde. Da diese subjektive Furcht mit Blick auf die vorstehenden Erwägungen zudem auch objektivierbar ist, kann dem Beschwerdeführer eine begründete Furcht vor zukünftiger asylrelevanter Verfolgung zuerkannt werden (vgl. EMARK 2004 Nr. 1 S. 9 f., mit weiteren Hinweisen).</w:t>
      </w:r>
    </w:p>
    <w:p>
      <w:r>
        <w:rPr>
          <w:b/>
        </w:rPr>
        <w:t>E. 4.4</w:t>
      </w:r>
    </w:p>
    <w:p>
      <w:r>
        <w:t>Gestützt auf die vorstehenden Erwägungen ist das Vorliegen einer begründeten Furcht vor Verfolgung im Sinne von Art. 3 AsylG zu bejahen. Somit erfüllt der Beschwerdeführer die Anforderungen an die Flüchtlingseigenschaft. Unter diesen Umständen erübrigt es sich, auf die weiteren Vorbringen des Beschwerdeführers, so insbesondere auf die geltend gemachten exilpolitischen Aktivitäten, näher einzugehen. Asylausschlussgründe im Sinne von Art. 53 AsylG sind nicht ersichtlich. Die Beschwerde ist somit gutzuheissen, die angefochtene Verfügung vom 10. Mai 2006 ist aufzuheben, und das BFM ist anzuweisen, dem Beschwerdeführer Asyl zu gewähren.</w:t>
      </w:r>
    </w:p>
    <w:p>
      <w:r>
        <w:rPr>
          <w:b/>
        </w:rPr>
        <w:t>E. 5.1</w:t>
      </w:r>
    </w:p>
    <w:p>
      <w:r>
        <w:t>Bei diesem Ausgang des Verfahrens sind keine Verfahrenskosten aufzuerlegen (Art. 63 Abs. 1 und 2 VwVG). Das Gesuch um Gewährung der unentgeltlichen Rechtspflege im Sinne von Art. 65 Abs. 1 VwVG wird damit gegenstandslos.</w:t>
      </w:r>
    </w:p>
    <w:p>
      <w:r>
        <w:rPr>
          <w:b/>
        </w:rPr>
        <w:t>E. 5.2</w:t>
      </w:r>
    </w:p>
    <w:p>
      <w:r>
        <w:t>Dem obsiegenden und vertretenen Beschwerdeführer ist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Die Rechtsvertretung des Beschwerdeführers hat mit der Rechtsmitteleingabe eine Kostennote im Betrage von Fr. 1400.- eingereicht, der als angemessen erscheint. Der zusätzlich im Verlaufe des Rechtsmittelverfahrens entstandene Parteiaufwand kann zuverlässig abgeschätzt werden und wird auf Fr. 400.- festgesetzt. Die Parteientschädigung ist auf pauschal Fr. 1800.- festzulegen (vgl.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