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E-5629/2013 vom 25. März 2015</w:t>
      </w:r>
    </w:p>
    <w:p>
      <w:r>
        <w:t>Bundesverwaltungsgericht, 2015-03-25, DE</w:t>
      </w:r>
    </w:p>
    <w:p>
      <w:r>
        <w:rPr>
          <w:b/>
        </w:rPr>
        <w:t xml:space="preserve">Quelle: </w:t>
      </w:r>
      <w:r>
        <w:t>https://mcp.opencaselaw.ch/entscheid/bvger_E-5629_2013</w:t>
      </w:r>
    </w:p>
    <w:p>
      <w:r>
        <w:t>FR: TAF E-5629/2013 du 25 mars 2015</w:t>
      </w:r>
    </w:p>
    <w:p>
      <w:r>
        <w:t>IT: TAF E-5629/2013 del 25 marzo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bzw.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2 AsylG; Art. 48 Abs. 1 sowie Art. 52 Abs. 1 VwVG). Auf die Beschwerde ist einzutreten.</w:t>
      </w:r>
    </w:p>
    <w:p>
      <w:r>
        <w:rPr>
          <w:b/>
        </w:rPr>
        <w:t>E. 2</w:t>
      </w:r>
    </w:p>
    <w:p>
      <w:r>
        <w:t>Die Kognition des Bundesverwaltungsgerichts im Asylbereich und die zulässigen Rügen richten sich nach Art. 106 Abs. 1 AsylG.</w:t>
      </w:r>
    </w:p>
    <w:p>
      <w:r>
        <w:rPr>
          <w:b/>
        </w:rPr>
        <w:t>E. 3.1</w:t>
      </w:r>
    </w:p>
    <w:p>
      <w:r>
        <w:t>Am 1. Februar 2014 trat die Revision des Asylgesetzes vom 14. Dezember 2012 in Kraft. Gemäss Abs. 1 der diesbezüglichen Übergangsbestimmungen gilt für im Zeitpunkt des Inkrafttretens hängige Verfahren - mit vorliegend nicht einschlägigen Ausnahmen - das neue Recht.</w:t>
      </w:r>
    </w:p>
    <w:p>
      <w:r>
        <w:rPr>
          <w:b/>
        </w:rPr>
        <w:t>E. 3.2</w:t>
      </w:r>
    </w:p>
    <w:p>
      <w:r>
        <w:t>Am 1. Januar 2014 ist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auch für die Schweiz vorläufig in Kraft getreten. Gemäss der Übergangsbestimmung der Dublin-III-VO sind Verfahren, bei welchen sowohl der Asylantrag als auch das Ersuchen um Übernahme vor dem 1. Januar 2014 gestellt worden sind, noch nach Dublin-II-VO zu entscheiden (Art. 49 Abs. 2 Dublin-III-VO). Somit ist über das vorliegende Verfahren nach den Kriterien der Dublin II VO zu befinden, da sowohl der Asylantrag der Beschwerdeführenden als auch das vorinstanzliche Ersuchen um Übernahme vor dem 1. Januar 2014 gestellt worden sind.</w:t>
      </w:r>
    </w:p>
    <w:p>
      <w:r>
        <w:rPr>
          <w:b/>
        </w:rPr>
        <w:t>E. 4.1</w:t>
      </w:r>
    </w:p>
    <w:p>
      <w:r>
        <w:t>Vorab ist zu prüfen, ob der rechtserhebliche Sachverhalt genügend festgestellt wurde, da ein Verfahrensmangel allenfalls geeignet wäre, eine Kassation des vorinstanzlichen Entscheides zu bewirken (vgl. Kölz/Häner/Bertschi, Verwaltungsverfahren und Verwaltungsrechtspflege des Bundes, 3. Aufl., 2013, Rz. 1156 m.w.H.).</w:t>
      </w:r>
    </w:p>
    <w:p>
      <w:r>
        <w:rPr>
          <w:b/>
        </w:rPr>
        <w:t>E. 4.2</w:t>
      </w:r>
    </w:p>
    <w:p>
      <w:r>
        <w:t>Der Untersuchungsgrundsatz gehört zu den allgemeinen Grundsätzen des Verwaltungs- bzw.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Kölz/Häner/Bertschi, a.a.O., Rz. 1043). Der Untersuchungsgrundsatz gilt indes nicht uneingeschränkt, zumal er sein Korrelat in der Mitwirkungspflicht des Asylsuchenden findet (Art. 13 VwVG und Art. 8 AsylG).</w:t>
      </w:r>
    </w:p>
    <w:p>
      <w:r>
        <w:rPr>
          <w:b/>
        </w:rPr>
        <w:t>E. 4.3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Kölz/Häner/Bertschi, a.a.O., Rz. 1155). Die in diesen Fällen fehlende Entscheidungsreife kann grundsätzlich zwar auch durch die Beschwerdeinstanz selbst hergestellt werden, wenn dies im Einzelfall aus prozessökonomischen Gründen angebracht erscheint; sie muss dies aber nicht (vgl. BVGE 2012/21 E. 5 m.w.H.).</w:t>
      </w:r>
    </w:p>
    <w:p>
      <w:r>
        <w:rPr>
          <w:b/>
        </w:rPr>
        <w:t>E. 5.1</w:t>
      </w:r>
    </w:p>
    <w:p>
      <w:r>
        <w:t>Das BFM stellte sich in seiner Vernehmlassung vom 26. November 2014 (vgl. oben Bst. N) auf den Standpunkt, dass der EGMR in seinem Urteil Tarakhel (vgl. Urteil des EGMR Tarakhel gegen Schweiz, a.a.O.) keine systemischen Unzulänglichkeiten im italienischen Asylsystem feststelle, so dass dieses Urteil für das vorliegende Verfahren aktuell keine weitergehende Bewandtnis habe. Die Vorinstanz nehme gestützt auf dieses Urteil keine Überstellungen von Familien nach Italien vor, ohne dass vorgängig die notwendigen expliziten Garantien dieses Landes vorliegen würden. Diese Garantien seien indes erst im Rahmen der Überstellungsmodalitäten einzuholen.</w:t>
      </w:r>
    </w:p>
    <w:p>
      <w:r>
        <w:rPr>
          <w:b/>
        </w:rPr>
        <w:t>E. 5.2</w:t>
      </w:r>
    </w:p>
    <w:p>
      <w:r>
        <w:t>Der Vorinstanz ist dahingehend zuzustimmen, dass der Gerichtshof bezüglich der Lebensbedingungen von asylsuchenden Person in Italien keine systemischen Mängel feststellte. Die heutige Lage Italiens sei, so der Gerichtshof, nicht mit derjenigen von Griechenland (vgl. Urteil des EGMR M.S.S. gegen Belgien und Griechenland vom 21. Januar 2011, Grosse Kammer, Nr. 30696/09) vergleichbar. Die Struktur und der allgemeine Zustand der Aufnahmebedingungen in Italien würden noch kein grundsätzliches Hindernis für Asylsuchende darstellen, auch wenn Zweifel hinsichtlich der Kapazitäten nicht ausgeschlossen werden könnten (vgl. Urteil des EGMR Tarakhel gegen Schweiz, a.a.O., § 114 f. und 120).</w:t>
      </w:r>
    </w:p>
    <w:p>
      <w:r>
        <w:rPr>
          <w:b/>
        </w:rPr>
        <w:t>E. 5.3</w:t>
      </w:r>
    </w:p>
    <w:p>
      <w:r>
        <w:t>Der Gerichtshof stellte weiter fest, dass asylsuchende Personen als eine besonders benachteiligte und verletzliche Gruppe einen speziellen Schutz benötigen würden. Dieser sei umso wichtiger, wenn es sich dabei - angesichts ihrer speziellen Bedürfnisse und ihrer Verletzlichkeit - um Kinder handle (vgl. Urteil des EGMR Tarakhel gegen Schweiz, a.a.O., § 118 f.). Angesichts der erwähnten ernsthaften Zweifel an den aktuellen Kapazitäten der italienischen Aufnahmestrukturen bestehe eine gewisse Wahrscheinlichkeit, dass Dublin-Rückkehrer in Italien keine oder nur eine überfüllte Unterkunft vorfinden würden, wo keinerlei Privatsphäre, wenn nicht gar gesundheitsgefährdende und gewaltgeprägte Bedingungen herrschten (vgl. Urteil des EGMR Tarakhel gegen Schweiz, a.a.O., § 115 und 120). Daraus folge, dass es eine Verletzung von Art. 3 EMRK darstellen würde, wenn die Schweizer Behörden eine Überstellung von Familien mit Kindern nach Italien vornähme, ohne zuvor von den italienischen Behörden eine individuelle Garantie erhalten zu haben, dass für eine kindgerechte Unterbringung gesorgt sei und die Einheit der Familie gewahrt werde (vgl. Urteil des EGMR Tarakhel gegen Schweiz, a.a.O., § 122).</w:t>
      </w:r>
    </w:p>
    <w:p>
      <w:r>
        <w:rPr>
          <w:b/>
        </w:rPr>
        <w:t>E. 5.4</w:t>
      </w:r>
    </w:p>
    <w:p>
      <w:r>
        <w:t>Angesichts dieser Erwägungen vermag es nicht zu überzeugen, wenn die Vorinstanz daran festhält, dass die notwendigen Garantien erst im Rahmen der Überstellungsmodalitäten einzuholen seien. Wie das Bundesverwaltungsgericht in einem kürzlich gefällten Grundsatzurteil festgestellt hat, ist das Vorliegen der von den italienischen Behörden einzuholenden Garantien einer kindgerechten und die Einheit der Familie respektierenden Unterkunft keine blosse Überstellungsmodalität, sondern stellt gemäss dem Urteil Tarakhel des EGMR eine materielle Voraussetzung der völkerrechtlichen Zulässigkeit einer Überstellung nach Italien dar. Als solche muss sie einer gerichtlichen Überprüfung offenstehen. Da eine gerichtliche Überprüfung von Vollzugsmodalitäten nach Vorliegen eines rechtskräftigen Überstellungsentscheides nicht mehr vorgesehen ist, muss die Überprüfungsmöglichkeit eines solchen Entscheides für eine Familie, welche nach Italien überstellt werden soll, im ordentlichen Beschwerdeverfahren bestehen, und es müssen demnach bezüglich Italien die im Sinne des erwähnten Urteils des EGMR erforderlichen konkreten individuellen Garantien im ordentlichen Verfahren - und nicht erst im Vollzugsstadium - vorliegen. Blosse generelle Absichtserklärungen seitens Italien können nicht ausreichen, um eine allfällige Verletzung von Art. 3 EMRK ausschliessen zu können. Entsprechend den Voraussetzungen, wie sie im Urteil Tarakhel des EGMR genannt sind, muss im Zeitpunkt der vorinstanzlichen Verfügung eine konkrete und individuelle Zusicherung - insbesondere unter Namens- und Altersangaben der betroffenen Personen - vorliegen, mit welcher namentlich garantiert wird, dass eine dem Alter der Kinder (oder des Kindes) entsprechende Unterkunft bei der Ankunft der Familie in Italien zur Verfügung steht und dass die Familie bei der Unterbringung nicht getrennt wird (vgl. Urteil des Bundesverwaltungsgerichts E-6629/2014 vom 12. März 2015 E. 4.3 [zur Publikation vorgesehen]).</w:t>
      </w:r>
    </w:p>
    <w:p>
      <w:r>
        <w:rPr>
          <w:b/>
        </w:rPr>
        <w:t>E. 5.5</w:t>
      </w:r>
    </w:p>
    <w:p>
      <w:r>
        <w:t>Im Fall der Beschwerdeführenden - die Eltern mit ihren inzwischen drei (minderjährigen) Kindern - lassen sich keine solche Garantien in den Akten finden und sind auch im Rahmen des Vernehmlassungsverfahrens nicht eingeholt und dem Bundesverwaltungsgericht vorgelegt worden. Der entscheidrelevante Sachverhalt im Hinblick auf die Frage, ob eine Überstellung nach Italien völkerrechtskonform im Sinne von Art. 3 EMRK sei, ist demnach nicht rechtsgenüglich erstellt. Es erweist sich somit als angezeigt, die Sache zwecks Vornahme der erforderlichen Abklärungen an die Vorinstanz zurückzuweisen.</w:t>
      </w:r>
    </w:p>
    <w:p>
      <w:r>
        <w:rPr>
          <w:b/>
        </w:rPr>
        <w:t>E. 5.6</w:t>
      </w:r>
    </w:p>
    <w:p>
      <w:r>
        <w:t>Demnach ist die Beschwerde gutzuheissen. Die angefochtene Verfügung vom 24. September 2013 ist aufzuheben und die Sache in Anwendung von Art. 61 Abs. 1 VwVG zur vollständigen und richtigen Sachverhaltsermittlung und Neubeurteilung im Sinne der Erwägungen an die Vorinstanz zurückzuweisen. Auf die weiteren Vorbringen in der Rechtsmitteleingabe ist aufgrund der vorliegenden Kassation zum heutigen Zeitpunkt nicht näher einzugehen.</w:t>
      </w:r>
    </w:p>
    <w:p>
      <w:r>
        <w:rPr>
          <w:b/>
        </w:rPr>
        <w:t>E. 6.1</w:t>
      </w:r>
    </w:p>
    <w:p>
      <w:r>
        <w:t>Bei diesem Ausgang des Verfahrens sind keine Kosten zu erheben (Art. 63 Abs. 1 und 2 VwVG). Das Gesuch um Gewährung der unentgeltlichen Prozessführung wird damit hinfällig.</w:t>
      </w:r>
    </w:p>
    <w:p>
      <w:r>
        <w:rPr>
          <w:b/>
        </w:rPr>
        <w:t>E. 6.2</w:t>
      </w:r>
    </w:p>
    <w:p>
      <w:r>
        <w:t>Die Beschwerdeinstanz kann der ganz oder teilweise obsiegenden Partei eine Entschädigung für ihr durch die Vertretung vor Gericht erwachsene notwendige und verhältnismässig hohe Kosten zusprechen (Art. 64 Abs. 1 VwVG). Vorliegend sind die Beschwerdeführenden nicht vertreten, weshalb ihnen kein Vertretungsaufwand erwachsen ist. Eine Parteientschädigung ist ihnen daher nicht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