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E-5619/2006 vom 16. Dezember 2009</w:t>
      </w:r>
    </w:p>
    <w:p>
      <w:r>
        <w:t>Bundesverwaltungsgericht, 2009-12-16, DE</w:t>
      </w:r>
    </w:p>
    <w:p>
      <w:r>
        <w:rPr>
          <w:b/>
        </w:rPr>
        <w:t xml:space="preserve">Quelle: </w:t>
      </w:r>
      <w:r>
        <w:t>https://mcp.opencaselaw.ch/entscheid/bvger_E-5619_2006</w:t>
      </w:r>
    </w:p>
    <w:p>
      <w:r>
        <w:t>FR: TAF E-5619/2006 du 16 décembre 2009</w:t>
      </w:r>
    </w:p>
    <w:p>
      <w:r>
        <w:t>IT: TAF E-5619/2006 del 16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 urteilung der am 31. Dezember 2006 bei der ARK hängigen Rechts-mittel übernommen. Das neue Verfahrensrecht ist anwendbar (vgl. Art. 53 Abs. 2 VGG).</w:t>
      </w:r>
    </w:p>
    <w:p>
      <w:r>
        <w:rPr>
          <w:b/>
        </w:rPr>
        <w:t>E. 1.3</w:t>
      </w:r>
    </w:p>
    <w:p>
      <w:r>
        <w:t>Die Beschwerde ist frist- und formgerecht eingereicht. Der Be-chwerdeführer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die Ausführungen des Beschwerdeführers zu den vorge-brachten Überfällen auf Y._______ im Jahre (...) und auf W._______ im Jahre (...) sowie zur Inhaftierung und Freilassung des Beschwerdeführers seien gesamthaft betrachtet stereotyp und unverbindlich ausgefallen. Seine Schilderungen seien durchwegs allgemein, ausweichend und unpersönlich geblieben, obwohl er anlässlich der direkten Bundesanhörung wiederholt aufgefordert worden sei, genauere und insbesondere auf ihn bezogene Angaben zu machen. Im Weiteren seien die Vorbringen zu seinem Verhalten während der geltend gemachten Angriffe auf Y._______ und W._______ nicht nachvollziehbar. So habe er zum Angriff auf Y._______ beispielsweise ausgeführt, er wisse nicht, was seine Angehörigen getan hätten; jeder gehe seinen Weg und müsse sich selber retten. Es sei nicht einzusehen, weshalb der Beschwerdeführer nicht zusammen mit seinen Angehörigen geflüchtet sei, sei er doch die meiste Zeit mit seinem Bruder zusammen gewesen und habe sich zum Zeitpunkt des Angriffs mit seiner Familie im Hause aufgehalten. Auch weitere Angaben seien nicht nachvollziehbar. So habe er angegeben, seinen Bruder nicht gefragt zu haben, wie dessen Schusswunde während der Inhaftierung behandelt worden sei. Zudem mache er geltend, er habe einen Wächter angegriffen und gedroht, sich selber umzubringen sowie einen Gefängniswärter zu töten. Nachdem er dann miss-handelt worden sei, habe man ihm sein Geld zurückgegeben und ihn freigelassen. Es sei aber höchst unwahrscheinlich, dass eine inhaftier-te Person nach derartigen Vorfällen - insbesondere nach einem Angriff auf einen Wärter - freigelassen würde. Schliesslich würden sich in den Aussagen des Beschwerdeführers auch etliche Widersprüche finden. Seine Vorbringen würden daher den Anforderungen an die Glaubhaf-tigkeit gemäss Art. 7 AsylG nicht standhalten, so dass ihre Asylrele-vanz nicht geprüft werden müsse. Bei den Vorfällen in der Region Dar-fur handle es sich ausserdem um lokale oder regional beschränkte Verfolgungsmassnahmen. Er könne sich diesen durch den Wegzug in einen anderen Teil des Heimatlandes entziehen, so dass er auf den Schutz der Schweiz nicht angewiesen sei.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drohen würde. Aufgrund der gegenwärtigen Situation in Darfur sei eine Rückführung von abgewiesenen Asylsuchenden als nicht zumutbar zu erachten. Dem Beschwerdeführer sei es jedoch an-gesichts der im Sudan bestehenden Niederlassungsfreiheit möglich und zumutbar, sich im Sinne einer innerstaatlichen Wohnsitzalternative in einem anderen Teil des sudanesischen Staatsgebietes, zum Bei-spiel in Khartum, niederzulassen. Dort herrsche keine Situation all-gemeiner Gewalt. Ausserdem habe er sich bereits für ein Jahr in dieser Stadt aufgehalten und dort als Assistent eines Buschauffeurs gearbeitet. Sodann sei er jung und seine Muttersprache sei Arabisch. Der Vollzug der Wegweisung sei technisch möglich und praktisch durch-führbar.</w:t>
      </w:r>
    </w:p>
    <w:p>
      <w:r>
        <w:rPr>
          <w:b/>
        </w:rPr>
        <w:t>E. 3.2</w:t>
      </w:r>
    </w:p>
    <w:p>
      <w:r>
        <w:t>In der Beschwerde wird der Argumentation der Vorinstanz entge-gengehalten, der Beschwerdeführer sei in seinem Heimatland aus den von ihm geschilderten Gründen verfolgt und müsse ernsthafte Nach-teile in Bezug auf die Gefährdung an Leib und Leben und unerträglichen Druck befürchten. Insgesamt seien seine Angaben und Schilderungen glaubwürdig und im Kern nachvollziehbar. Er habe sehr lebensnah, farbig und detailreich vorgebracht, was ihm widerfahren sei. Die angefochtene Verfügung verlange völlig lebensfremd und in Verkennung der konkreten Umstände, dass der Beschwerdeführer zusammen mit der Familie hätte fliehen müssen, wo es doch einzig darum gegangen sei, sein eigenes Leben zu retten. Es sei offensichtlich, dass er nicht nur konkreten Überfällen ausgesetzt und an Leib und Leben bedroht gewesen sei, sondern auch wegen seiner Rasse im Alltag Diskriminierungen über sich habe ergehen lassen müssen. Weiter werde vom BFM behauptet, die Vorbringen seien widersprüchlich ausgefallen. Dies treffe nicht zu; die Ausführungen über den Gefängnisaufenthalt, sowohl die Dauer als auch die Örtlichkeiten betreffend, seien in allen drei Befragungen deckungsgleich. Die Rückkehr des Beschwerdeführers in sein Heimatland sei objektiv unmöglich. Alle massgebenden Organisationen würden die Möglichkeit und Zumutbarkeit einer Rückkehr verneinen. Im Sudan herrsche Bür-gerkrieg, wobei der Beschwerdeführer davon konkret und direkt be-troffen sei. Eine Rückkehr sei für ihn auch in eine Gegend ausserhalb von Darfur unzumutbar. Er sei dort fremd, zudem habe er gerade in X._______ Diskriminierungen und Rassismus miterleben müssen. Es sei barer Unsinn und nicht zu hören, dass die von ihm geschilderten Benachteiligungen als Dunkelhäutiger "wegen der Art und geringen In-tensität keine ernsthaften Nachteile im Sinne des Asylgesetzes" sei-en.</w:t>
      </w:r>
    </w:p>
    <w:p>
      <w:r>
        <w:rPr>
          <w:b/>
        </w:rPr>
        <w:t>E. 3.3</w:t>
      </w:r>
    </w:p>
    <w:p>
      <w:r>
        <w:t>In ihrer Vernehmlassung hielt die Vorinstanz fest, dass es dem Beschwerdeführer im Gegensatz zu dem in Entscheidungen und Mit-teilungen der Schweizerischen Asylrekurskommission (EMARK) 2006 Nr. 25 erwähnten Asylsuchenden nicht gelungen sei, die angeblich gegen ihn gerichteten Übergriffe in Darfur glaubhaft zu machen.</w:t>
      </w:r>
    </w:p>
    <w:p>
      <w:r>
        <w:rPr>
          <w:b/>
        </w:rPr>
        <w:t>E. 3.4</w:t>
      </w:r>
    </w:p>
    <w:p>
      <w:r>
        <w:t>In der Replik wurde entgegnet, dass die Ausführungen der Vor-instanz in der Vernehmlassung nicht geeignet seien, die Asylgründe zu erschüttern und damit die Richtigkeit der Asylbeschwerde in Frage zu stellen. Die Ausführungen des Beschwerdeführers und die Darlegun-gen über die Herkunft aus dem Sudan, speziell aus dem Gebiet um Darfur, seien glaubhaft und überzeugend.</w:t>
      </w:r>
    </w:p>
    <w:p>
      <w:r>
        <w:rPr>
          <w:b/>
        </w:rPr>
        <w:t>E. 4.1</w:t>
      </w:r>
    </w:p>
    <w:p>
      <w:r>
        <w:t>Das Bundesamt stützt seinen ablehnenden Entscheid vor allem darauf ab, dass die Vorbringen des Beschwerdeführers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bei dem Ereignis aufgetretenen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(insbeson-dere Schmerzen).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näheren Einzelheiten vor-gebracht und Nebensächlichkeiten berichtet werden (Rolf Bender/Ar-min Nack/Wolf-Dieter Treuer, Tatsachenfeststellung vor Gericht, 3. Auf-lage, München 2007, S. 72 ff.).</w:t>
      </w:r>
    </w:p>
    <w:p>
      <w:r>
        <w:rPr>
          <w:b/>
        </w:rPr>
        <w:t>E. 4.2</w:t>
      </w:r>
    </w:p>
    <w:p>
      <w:r>
        <w:t>Sodann ist darauf hinzuweisen, dass die ARK in einem Grundsatz-urteil festgehalten hat, dass der Befragung zu den Ausreisegründen in der Empfangsstelle aufgrund des summarischen Charakters für die Beurteilung der Glaubwürdigkeit der vorgebrachten Asylgründe nur ein beschränkter Beweiswert zukommt (EMARK 1993 Nr. 3 S. 13, welche Praxis vom Bundesverwaltungsgericht übernommen wird.).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klare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zumindest ansatzweise erwähnt werden. Solche Widersprüche lassen sich in der Regel nicht mit dem summarischen Charakter der Befragung erklären. Es ist daher nicht einzusehen, weshalb sie im Rahmen der Beweiswürdigung nicht berücksichtigt werden sollten.</w:t>
      </w:r>
    </w:p>
    <w:p>
      <w:r>
        <w:rPr>
          <w:b/>
        </w:rPr>
        <w:t>E. 4.3</w:t>
      </w:r>
    </w:p>
    <w:p>
      <w:r>
        <w:t>Ebenso wie die Vorinstanz geht auch das Bundesverwaltungsge-richt davon aus, dass der Beschwerdeführer zum heutigen Zeitpunkt in seinem Heimatland in asylrelevanter Weise nicht gefährdet ist. Zu-nächst ist entgegen der in der Beschwerde vertretenen Auffassung festzuhalten, dass seine Ausführungen in vielerlei Hinsicht detailarm ausgefallen sind. So schildert er den Angriff auf das Dorf Y._______ im Jahre (...) in einer sehr allgemeinen Weise: "Es sei auf die Häuser geschossen worden, die Bewohner hätten versucht zu fliehen und man habe die Kinder schreien hören" (Akten BFM A20/21 S. 3). Auch der von ihm berichtete Überfall auf W._______ im Jahre (...) wirkt nicht so, als hätte er ihn tatsächlich selber miterlebt (a.a.O. S. 8). Vielmehr ist davon auszugehen, dass dies von jedermann in dieser Art und Weise erzählt werden könnte. Gleiches gilt für den angegebenen, sechsmonatigen Gefängnisaufenthalt in V._______. Auch wenn der Alltag in einem Gefängnis kaum Abwechslung bieten mag, wäre doch zu erwarten gewesen, dass der Beschwerdeführer hierzu mehr hätte sagen können, als dass er normal geschlafen habe und befragt und beschimpft worden sei (a.a.O. S. 11). Nicht nachvollziehbar ist weiter, dass er sich mit seinem angeschossenen Bruder weder bezüglich der Behandlung der Verletzung noch hinsichtlich der Verhöre ausgetauscht haben will. Schliesslich sind sie nach Aussage des Beschwerdeführers über einen Zeitraum von sechs Monaten eingesperrt gewesen. Sodann ist die Art und Weise, wie er aus dem Gefängnis entlassen worden sein soll, nicht verständlich. Einerseits konnte er den Grund für seine Entlassung nicht angeben, anderseits erscheint es realitätsfremd, dass ihm Tätlichkeiten und Drohungen gegen einen Wärter hierbei geholfen haben sollen (a.a.O. S. 12). Weiter ist festzuhalten, dass er gemäss eigenen Angaben mit der Politik nichts zu tun hatte und auch nie Angeklagter in einem Gerichtsverfahren gewesen ist. Zur Vermei-dung von Wiederholungen kann ohne weiteren Begründungsaufwand auf die zutreffenden Ausführungen in der angefochtenen Verfügung verwiesen werden. Das BFM hat somit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wenn auch in vielen Bereichen unbefriedigende, Menschenrechtssituation im Sudan lässt den Wegweisungsvollzug zum heutigen Zeitpunkt vorliegend nicht als unzulässig erscheinen. Nach dem Gesagten ist der Vollzug der Wegweisung mithin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6.3.1</w:t>
      </w:r>
    </w:p>
    <w:p>
      <w:r>
        <w:t>Darfur, die Heimatregion des Beschwerdeführers, ist seit meh-reren Jahren Schauplatz eines blutigen Bürgerkrieges. Es herrscht eine Situation allgemeiner Gewalt und der Vollzug der Wegweisung dorthin ist nicht zumutbar (EMARK 2006 Nr. 25). Indessen hat die Vorinstanz zu Recht festgestellt, dass dem Beschwerdeführer auf-grund der bestehenden Niederlassungsfreiheit im Heimatland die Mög-lichkeit offensteht und auch zumutbar ist, sich im Sinne einer inner-staatlichen Wohnsitzalternative in einem anderen Teil des sudanesi-schen Staatsgebietes, beispielsweise in Khartum, niederzulassen. Den Erkenntnissen des Bundesverwaltungsgerichts zufolge besteht ausser-halb der Region Darfur keine Situation allgemeiner Gewalt, und es sind keine konkreten Anhaltspunkte dafür ersichtlich, dass der Be-schwerdeführer bei einer Rückkehr in einen ausserhalb der Region Darfur gelegenen Gliedstaat einer konkreten Gefährdung im Sinne von Art. 83 Abs. 4 AuG ausgesetzt wäre. Der Wegweisungsvollzug in den Sudan erweist sich damit als generell zumutbar.</w:t>
      </w:r>
    </w:p>
    <w:p>
      <w:r>
        <w:rPr>
          <w:b/>
        </w:rPr>
        <w:t>E. 6.3.2</w:t>
      </w:r>
    </w:p>
    <w:p>
      <w:r>
        <w:t>Entgegen den Ausführungen auf Beschwerdeebene sind auch keine individuellen Gründe in der Person des Beschwerdeführers er-sichtlich, die den Wegweisungsvollzug als unzumutbar erscheinen las-sen würden. Es handelt sich bei ihm um einen jungen und - laut Ak- ten - gesunden Mann, der eigenen Angaben zufolge über einen Zeit-raum von über einem Jahr in Khartum gelebt und als Assistent eines Buschauffeurs gearbeitet hat. Auch wenn er dort gewisse Schwierig-keiten gehabt haben mag, ist doch festzuhalten, dass es mit den Be-hörden zu keinerlei Problemen gekommen ist. Ausserdem ist darauf hinzuweisen, dass er sich als Mechaniker, Verkäufer und in der Land-wirtschaft betätigt hat, was ihm bei einer Rückkehr in den Sudan von Nutzen sein kann.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des Verfahrens dem Beschwerdeführer aufzuerlegen (Art. 63 Abs. 1 und 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