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E-5615/2019 vom 1. November 2019</w:t>
      </w:r>
    </w:p>
    <w:p>
      <w:r>
        <w:t>Bundesverwaltungsgericht, 2019-11-01, DE</w:t>
      </w:r>
    </w:p>
    <w:p>
      <w:r>
        <w:rPr>
          <w:b/>
        </w:rPr>
        <w:t xml:space="preserve">Quelle: </w:t>
      </w:r>
      <w:r>
        <w:t>https://mcp.opencaselaw.ch/entscheid/bvger_E-5615_2019</w:t>
      </w:r>
    </w:p>
    <w:p>
      <w:r>
        <w:t>FR: TAF E-5615/2019 du 1 novembre 2019</w:t>
      </w:r>
    </w:p>
    <w:p>
      <w:r>
        <w:t>IT: TAF E-5615/2019 del 1 novembre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Bei sogenannten Aufnahmeverfahren (engl.: take charge) sind die in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Falls ein Mitgliedstaat jedoch dem Antragsteller einen Aufenthaltstitel erteilt hat, wird die Zuständigkeit auf diesen Mitgliedstaat übertragen (Art. 19 Abs. 1 Dublin-III-VO; Filzwieser/Sprung, Dublin III-Verordnung, Wien 2014, K1 zu Art. 19). Besitzt der Antragsteller einen gültigen Aufenthaltstitel, ist der Mitgliedstaat, der den Aufenthaltstitel ausgestellt hat, gemäss Art. 12 Abs. 1 Dublin-III-VO für die Prüfung des Antrags auf internationalen Schutz zuständig.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der Dublin-III-VO zuständige Mitgliedstaat ist verpflichtet, eine asylsuchende Person, die in einem anderen Mitgliedstaat einen Antrag gestellt hat, nach Massgabe der Artikel 21, 22 und 29 Dublin-III-VO aufzunehmen (Art. 18 Abs. 1 Bst. a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Den vorliegenden Akten ist zu entnehmen, dass sich der Beschwerdeführer vor seiner Einreise in die Schweiz in Spanien aufgehalten hatte. Anlässlich seines Dublin-Gesprächs vom 30. September 2019 führte er aus, für Spanien eine bis Februar 2020 gültige Aufenthaltsbewilligung zu besitzen. Das SEM ersuchte die spanischen Behörden am 8. Oktober 2019 um Aufnahme des Beschwerdeführers gestützt auf Art. 12 Abs. 1 Dublin-III-VO. Die spanischen Behörden stimmten dem Gesuch um Übernahme am 14. Oktober 2019 zu. Die grundsätzliche Zuständigkeit Spaniens für die Durchführung des Asyl- und Wegweisungsverfahrens des Beschwerdeführers ist somit gegeben. Der Beschwerdeführer bestreitet auf Beschwerdeebene die Anwendbarkeit der Dublin-III-VO mit dem Argument, er werde in Spanien verfolgt. Der Mitgliedstaat, der nach den Vorbringen eines Antragsstellers Verfolgerstaat sei, könne gemäss der Rechtsprechung des Bundesverwaltungsgerichts nicht zuständig sein für die Prüfung des Asylgesuchs. Im Unterschied zu den von ihm zitierten Urteilen des Bundesverwaltungsgerichts macht der Beschwerdeführer vorliegend weder eine staatliche, noch eine quasistaatliche Verfolgung geltend. Hingegen behauptet er, von seiner Familie bedroht zu werden, ohne dies näher auszuführen. Er macht nicht geltend, den Schutz der spanischen Behörden in Anspruch genommen zu haben und bringt auch nicht vor, seine Verwandten würden unter quasi-behördlichem Schutz stehen. Zudem bestehen keine Hinweise darauf, dass der spanische Staat nicht schutzfähig oder schutzwillig ist. Bei dieser Ausgangslage kann der Beschwerdeführer aus den angerufenen Urteilen des Bundesverwaltungsgerichts nichts zu seinen Gunsten ableiten. Die Dublin-III-VO ist anzuwenden.</w:t>
      </w:r>
    </w:p>
    <w:p>
      <w:r>
        <w:rPr>
          <w:b/>
        </w:rPr>
        <w:t>E. 5.2</w:t>
      </w:r>
    </w:p>
    <w:p>
      <w:r>
        <w:t>Im Lichte von Art. 3 Abs. 2 Dublin-III-VO ist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 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ist davon auszugehen,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5.3</w:t>
      </w:r>
    </w:p>
    <w:p>
      <w:r>
        <w:t>Der Beschwerdeführer macht geltend, der Sachverhalt hinsichtlich seiner Ehe mit der spanischen Staatsangehörigen, welche in der Schweiz mit Niederlassung C wohnhaft sei, sei zu wenig abgeklärt worden. Sein Hinweis, er habe mit seiner Frau in der Schweiz zusammengelebt, sei nicht beachtet worden. Damit macht er implizit eine mögliche Verletzung von Art. 8 EMRK geltend. Könnte sich der Beschwerdeführer auf einen Anspruch aus Art. 8 EMRK berufen, würden sich daraus - abweichend von Art. 3 Abs. 1 Dublin-III-VO - zwingende Gründe für die Ausübung der Ermessensklausel und für einen Selbsteintritt nach Art. 17 Abs. 1 Dublin-III-VO ergeben (vgl. BVGE 2013/24 E. 5). Der Schutz des Familienlebens gemäss Art. 8 EMRK ist im Dublin-Verfahren zu berücksichtigen, soweit eine tatsächlich gelebte Beziehung besteht; geschützt wird nach Lehre und Praxis nicht de jure existierendes, sondern vielmehr de facto bestehendes Familienleben (vgl. etwa Achermann/Caroni in: Ausländerrecht, 2. Aufl. 2009, Rz. 6.27 m.w.H.). Die Praxis nennt in diesem Zusammenhang etwa das gemeinsame Wohnen respektive der gemeinsame Haushalt, die finanzielle Verflochtenheit, die Länge und Stabilität der Beziehung sowie das Interesse und die Bindung der Partner aneinander als relevante Faktoren (vgl. statt vieler das Urteil des Bundesverwaltungsgerichts E-2466/2019 vom 28. Mai 2019 E. 4.5.2 m.w.H.). Der Beschwerdeführer wurde anlässlich des Dublin-Gesprächs vom 4. Oktober 2019 aufgefordert, Unterlagen betreffend seine Eheschliessung einzureichen. Seither ist er dieser Aufforderung nicht nachgekommen. Auch auf Beschwerdeebene hat er keine Nachweise dafür erbracht, dass es sich bei seiner Ehe um eine nahe, echte und tatsächlich gelebte familiäre Beziehung im Sinne von Art. 8 EMRK handelt. Dem Beschwerdeführer ist eine vom 14. Januar bis 13. April 2019 gültige Aufenthaltsbewilligung im Rahmen des Familiennachzuges ausgestellt worden. Er reiste jedoch nicht in die Schweiz ein. Die Vorinstanz ist deshalb zur zutreffenden Einschätzung gelangt, dass die geltend gemachte Beziehung nicht in den Schutzbereich von Art. 8 EMRK fällt. Somit bleibt die Zuständigkeit Spaniens bestehen. Im Weiteren ist der Beschwerdeführer erneut darauf hinzuweisen, dass es ihm nach wie vor freisteht, von Spanien aus nochmals ein Gesuch um Familiennachzug zu stellen. Im Rahmen des Dublin-Gesprächs vom 4. Oktober 2019 erwähnte der Beschwerdeführer gesundheitliche Probleme. Es gehe ihm mental nicht gut und er habe von seinem Arzt (...) und (...) erhalten.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Spanien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spanischen Behörden vorgängig in geeigneter Weise über die spezifischen medizinischen Umstände informieren (vgl. Art. 31 f. Dublin-III-VO). Weiter hat der Beschwerdeführer kein konkretes und ernsthaftes Risiko dargetan, die spanischen Behörden würden sich weigern, ihn aufzunehmen und seinen Antrag auf internationalen Schutz unter Einhaltung der Regeln der Verfahrensrichtlinie zu prüfen. Den Akten sind denn auch keine Gründe für die Annahme zu entnehmen, Spanien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Spanien seien derart schlecht, dass sie zu einer Verletzung von Art. 4 der EU-Grundrechtecharta, Art. 3 EMRK oder Art. 3 FoK führen könnten. Der Beschwerdeführer hat weiter keine konkreten Hinweise für die Annahme dargetan, Spanien würde ihm dauerhaft die ihm gemäss Aufnahmerichtlinie zustehenden minimalen Lebensbedingungen vorenthalten. Bei einer allfälligen vorübergehenden Einschränkung könnte er sich im Übrigen nötigenfalls an die spanischen Behörden wenden und die ihm zustehenden Aufnahmebedingungen auf dem Rechtsweg einfordern (vgl. Art. 26 Aufnahmerichtlinie). Darüber hinaus kommt der Vorinstanz bei der Ausübung des Selbsteintrittsrechts gemäss Art. 17 Abs. 1 Dublin-III-VO in Verbindung mit Art. 29a Abs. 3 AsylV1 Ermessen zu (vgl. BVGE 2015/9 E. 7 f.) und den Akten sind keine Hinweise auf eine gesetzeswidrige Ermessensausübung (vgl. Art. 106 Abs. 1 Bst. a AsylG) durch die Vorinstanz zu entnehmen.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Spanien der für die Behandlung des Asylgesuchs des Beschwerdeführers zuständige Mitgliedstaat gemäss Dublin-III-VO. Spanien ist verpflichtet, das Asylverfahren gemäss Art. 21, 22 und 29 Dublin-III-VO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Spanien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unentgeltlichen Rechtsvertretung (vgl. Art. 65 Abs. 1 und 2 VwVG) sind unbesehen der finanziellen Verhältnisse des Beschwerdeführers abzuweisen, da die Beschwerde gemäss den vorstehenden Erwägungen als aussichtslos zu bezeichnen ist und es daher an einer gesetzlichen Grundlage zu deren Gewährung fehlt.</w:t>
      </w:r>
    </w:p>
    <w:p>
      <w:r>
        <w:rPr>
          <w:b/>
        </w:rPr>
        <w:t>E. 10</w:t>
      </w:r>
    </w:p>
    <w:p>
      <w:r>
        <w:t>Mit dem vorliegenden Urteil fällt der am 28. Oktober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