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E-5611/2017 vom 13. September 2018</w:t>
      </w:r>
    </w:p>
    <w:p>
      <w:r>
        <w:t>Bundesverwaltungsgericht, 2018-09-13, DE</w:t>
      </w:r>
    </w:p>
    <w:p>
      <w:r>
        <w:rPr>
          <w:b/>
        </w:rPr>
        <w:t xml:space="preserve">Quelle: </w:t>
      </w:r>
      <w:r>
        <w:t>https://mcp.opencaselaw.ch/entscheid/bvger_E-5611_2017</w:t>
      </w:r>
    </w:p>
    <w:p>
      <w:r>
        <w:t>FR: TAF E-5611/2017 du 13 septembre 2018</w:t>
      </w:r>
    </w:p>
    <w:p>
      <w:r>
        <w:t>IT: TAF E-5611/2017 del 13 settembre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Zuständigkeit mit Zustimmung eines zweiten Richters beziehungsweise einer zweiten Richterin entschieden (Art. 111 Bst. e AsylG). Dass eine Beschwerde in objektiver Hinsicht offensichtlich begründet erscheint, kann sich auch erst im Verlaufe eines Beschwerdeverfahrens nach erfolgten Schriftenwechseln erweisen. Wie nachstehend aufgezeigt, handelt es sich vorliegend um eine solche, weshalb der Beschwerdeentscheid nur summarisch zu begründen ist (Art. 111a Abs. 2 AsylG).</w:t>
      </w:r>
    </w:p>
    <w:p>
      <w:r>
        <w:rPr>
          <w:b/>
        </w:rPr>
        <w:t>E. 4</w:t>
      </w:r>
    </w:p>
    <w:p>
      <w:r>
        <w:t>Nach Art. 51 Abs. 1 AsylG werden - unter dem Titel Familienasyl - Ehegatten von Flüchtlingen und ihre minderjährigen Kinder als Flüchtlinge anerkannt und erhalten Asyl, wenn keine besonderen Umstände dagegen sprechen. Mit dem sogenannten "Familienasyl" erhalten die Angehörigen der Kernfamilie die gleiche Rechtsstellung und damit auch denselben flüchtlingsrechtlichen Schutz wie der nachziehende anerkannte Flüchtling (vgl. Spescha et al., in: Migrationsrecht, Kommentar, 4. Aufl. 2015, N. 1 zu Art. 51 AsylG). Wurden die anspruchsberechtigten Personen durch die Flucht getrennt und befinden sie sich im Ausland, so ist ihre Einreise auf Gesuch hin zu bewilligen (Art. 51 Abs. 4 AsylG). Die Bewilligung der Einreise zwecks Gewährung von Familienasyl dient der Wiederherstellung von Familiengemeinschaften, die durch die Flucht getrennt wurden, hingegen nicht der Aufnahme von neuen oder der Wiederaufnahme von beendeten Beziehungen (vgl. BVGE 2012/32 E. 5.4.2). Sofern nicht schon besondere Umstände im Sinn von Art. 51 Abs. 1 AsylG gegen eine Familienvereinigung in der Schweiz sprechen (vgl. dazu beispielsweise BVGE 2012/32 E. 5.2-5.4), ist die Einreise in die Schweiz gestützt auf Art. 51 Abs. 1 und 4 AsylG nur zu bewilligen, wenn eine Familiengemeinschaft bestanden hat, welche durch die Flucht getrennt wurde; vorbehalten bleibt der Familiennachzug gemäss den Vorschriften des AuG (SR 142.20) (vgl. BGE 139 I 330 E. 1.3.2-1.4.1).</w:t>
      </w:r>
    </w:p>
    <w:p>
      <w:r>
        <w:rPr>
          <w:b/>
        </w:rPr>
        <w:t>E. 5.1</w:t>
      </w:r>
    </w:p>
    <w:p>
      <w:r>
        <w:t>Das Gericht hielt es entgegen der Ansicht des SEM im vorliegenden Verfahren als notwendig und entscheidend, das Abstammungsverhältnis zwischen M. und der Beschwerdeführerin zu verifizieren. Zwar ist der Ansicht des SEM insoweit zu folgen, als es schwer nachvollziehbar erscheinen muss, wenn M. und die Geschwister im Verlaufe ihrer Asylverfahren im Rahmen der Befragungen und der Anhörungen die Beschwerdeführerin nicht erwähnt haben und dies als Indiz gegen eine Familiengemeinschaft gewertet werden kann. Auf die einzelnen in der angefochtenen Verfügung angeführten entsprechenden Vorbehalte kann verwiesen werden. Auch vermag die Begründung, M. habe ihre Tochter aufgrund eines vermeintlichen Unfalltodes nicht erwähnt, das Gericht nicht vollends zu überzeugen. Die Gründe für das entsprechende Aussageverhalten müssen dem Gericht verborgen bleiben. Daraus jedoch, wie die Vorinstanz, den definitiven Schluss zu ziehen, es hätte zwischen M. und ihrer Tochter vor der Ausreise von M. keine gelebte Beziehung bestanden, ist offenkundig nicht statthaft. Aufgrund der Aktenlage sind keine gesicherten Anhaltspunkte gegeben, wonach die Beschwerdeführerin seit ihrer Geburt vom 20. Februar 2007 bis kurz vor der Ausreise von M. aus Somalia vom 5. November 2008 und somit bis zu ihrem Lebensalter von einem Jahr und acht Monaten nicht mit M. zusammengelebt haben soll. Jedenfalls spricht allein von Natur aus die leibliche Mutter-Kind-Beziehung in diesem Lebensabschnitt des Kindes deutlich für eine gelebte Gemeinschaft. M. machte in ihrem Asylgesuch geltend, sich aufgrund der - durch den Todesfall ihres Ehemannes vom 10. August 2008 bedingten - Mittellosigkeit, der plötzlichen Verarmung der Familie und der kriegerischen Ereignissen entschlossen zu haben, ihr Heimatland zu verlassen (Akten SEM A15/14, F46-F47). Im September 2008 habe sie ihrem in Schweden wohnhaften Schwager, der ihre Ausreise finanziert habe, ihren Entschluss mitgeteilt (A15/14, F68). Am 20. Oktober 2008 habe sie ihren Wohnort und am 5. November 2008 ihr Heimatland verlassen (A1/11, S.6). Die Trennung von der Beschwerdeführerin steht damit in hinreichender Zeitnähe mit der Flucht aus dem Heimatland. Die in der angefochtenen Verfügung vertretene Ansicht, die Trennung sei freiwillig und somit nicht aufgrund der Flucht erfolgt, kann nicht geschützt werden. Das rechtlich anzuerkennende und aufgrund faktischer Natur mit überwiegender Wahrscheinlichkeit vor der Flucht bestandene Mutter-Kind-Verhältnis wurde demnach durch die Flucht von M. aus ihrem Heimatland getrennt.</w:t>
      </w:r>
    </w:p>
    <w:p>
      <w:r>
        <w:rPr>
          <w:b/>
        </w:rPr>
        <w:t>E. 5.2</w:t>
      </w:r>
    </w:p>
    <w:p>
      <w:r>
        <w:t>Bei dieser Sachlage sind die Voraussetzungen gemäss Art. 51 Abs. 1 und Abs. 4 AsylG als erfüllt zu betrachten. Es sprechen keine besonderen Umstände dagegen.</w:t>
      </w:r>
    </w:p>
    <w:p>
      <w:r>
        <w:rPr>
          <w:b/>
        </w:rPr>
        <w:t>E. 5.3</w:t>
      </w:r>
    </w:p>
    <w:p>
      <w:r>
        <w:t>Somit ist festzustellen, dass die angefochtene Verfügung Bundesrecht verletzt (Art. 106 Abs. 1 AsylG). Die Beschwerde ist gutzuheissen. Die Verfügung des SEM vom 30. August 2017 ist aufzuheben. Die Vorinstanz ist anzuweisen, die derivative Flüchtlingseigenschaft der Beschwerdeführerin im Sinne von Art. 51 Abs. 1 AsylG anzuerkennen und ihr in der Schweiz Asyl zu gewähren, wozu ihre Einreise in die Schweiz zu bewilligen ist (Art. 51 Abs. 4 AsylG). Bei dieser Sachlage ist auf den Eventualantrag, die Sache sei an die Vorinstanz zur Neubeurteilung zurückzuweisen, nicht einzugehen.</w:t>
      </w:r>
    </w:p>
    <w:p>
      <w:r>
        <w:rPr>
          <w:b/>
        </w:rPr>
        <w:t>E. 6.1</w:t>
      </w:r>
    </w:p>
    <w:p>
      <w:r>
        <w:t>Bei diesem Ausgang des Verfahrens sind keine Kosten zu erheben (Art. 63 Abs. 1 und 2 VwVG).</w:t>
      </w:r>
    </w:p>
    <w:p>
      <w:r>
        <w:rPr>
          <w:b/>
        </w:rPr>
        <w:t>E. 6.2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Honorarnote vom 2. August 2018 ausgewiesene Vertretungsaufwand von 14.8 Stunden (versehentlich mit Total 30.95 Std. angegeben) erscheint als überhöht und ist deshalb auf das objektiv Notwendige zu kürzen. In Berücksichtigung des gesamten Prozessverlaufes ist der Beschwerdeführerin zulasten der Vorinstanz eine Parteientschädigung von Fr. 2240.- (inklusive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