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E-5611/2015 vom 6. Januar 2016</w:t>
      </w:r>
    </w:p>
    <w:p>
      <w:r>
        <w:t>Bundesverwaltungsgericht, 2016-01-06, DE</w:t>
      </w:r>
    </w:p>
    <w:p>
      <w:r>
        <w:rPr>
          <w:b/>
        </w:rPr>
        <w:t xml:space="preserve">Quelle: </w:t>
      </w:r>
      <w:r>
        <w:t>https://mcp.opencaselaw.ch/entscheid/bvger_E-5611_2015</w:t>
      </w:r>
    </w:p>
    <w:p>
      <w:r>
        <w:t>FR: TAF E-5611/2015 du 6 janvier 2016</w:t>
      </w:r>
    </w:p>
    <w:p>
      <w:r>
        <w:t>IT: TAF E-5611/2015 del 6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der angefochtenen Verfügung. Der Wegweisungsvollzug wurde bereits zugunsten einer vorläufigen Aufnahme aufgeschoben und bildet nicht mehr Gegenstand des Beschwerdeverfahrens.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gelangt in der angefochtenen Verfügung zum Schluss, die Vorbringen der Beschwerdeführerin würden den Anforderungen an das Glaubhaftmachen gemäss Art. 7 AsylG nicht standhalten, weswegen die Flüchtlingseigenschaft gemäss Art. 3 AsylG nicht zu prüfen sei. Um von einer illegalen Ausreise auszugehen, reiche es nicht aus, sich auf die notorisch schwierige legale Ausreise zu berufen, ohne die konkreten Ausreisegründe und -umstände glaubhaft darzutun.</w:t>
      </w:r>
    </w:p>
    <w:p>
      <w:r>
        <w:rPr>
          <w:b/>
        </w:rPr>
        <w:t>E. 4.2</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sprechen, überwiegen oder nicht. Dabei ist auf eine objektivierte Sichtweise abzustellen.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mit Verweisen).</w:t>
      </w:r>
    </w:p>
    <w:p>
      <w:r>
        <w:rPr>
          <w:b/>
        </w:rPr>
        <w:t>E. 4.3</w:t>
      </w:r>
    </w:p>
    <w:p>
      <w:r>
        <w:t>Mit Blick auf die soeben aufgeführten Kriterien der Glaubhaftmachung kommt das Bundesverwaltungsgericht nach Prüfung der Akten zum Ergebnis, dass die Vorinstanz den Massstab des Glaubhaftmachens im vorliegenden Fall in Bezug auf die Ausreise aus Eritrea zu eng angewendet hat. Es ist der Beschwerdeführerin zuzustimmen und festzustellen, dass in Bezug auf die Ausreise die Gründe nicht überwiegen, die gegen die Richtigkeit ihrer Sachverhaltsdarstellung sprechen. So ist bekannt, dass ein legales Verlassen des Landes lediglich mit einem gültigen Reisepass und einem zusätzlichen Ausreisevisum möglich ist und Ausreisevisa bereits seit mehreren Jahren nur noch unter sehr restriktiven Bedingungen und gegen Bezahlung von Geldbeträgen an wenige, loyal beurteilte Personen ausgestellt werden, wobei Kinder ab elf Jahren, Männer bis zum Alter von 54 Jahren und Frauen bis 47 Jahre grundsätzlich von der Visumserteilung ausgeschlossen sind (vgl. etwa Urteil BVGer E-5045/2009 vom 29. November 2012 E. 6.4.2 mit weiteren Hinweisen). Die Beschwerdeführerin gehört zum Personenkreis von Frauen unter 47 Jahren. Dies entbindet sie jedoch nicht davon, die illegale Ausreise als subjektiven Nachfluchtgrund zu beweisen oder zumindest glaubhaft zu machen. Bereits das Gutachten von Lingua vom 3. August 2015 bestätigt die eritreische Herkunft der Beschwerdeführerin und die Tatsache, dass sie vor Ort sozialisiert wurde. In der vorinstanzlichen Verfügung geht es folgerichtig nicht um die Frage, ob überhaupt eine Ausreise stattgefunden hat oder nicht, sondern nur darum, ob diese illegal oder legal erfolgte. Die wenigen, ihr seitens der Vorinstanz vorgeworfenen Widersprüche zur Ausreisemodalität fallen nicht ins Gewicht. Ob sie im Verlauf des Verfahrens - und in einem Abstand der Befragungen von zwei Jahren - das Fortbewegungsmittel anders benennt, kann ihr nicht zum Nachteil ausgelegt werden. Selbst die Kumulation mit dem einmaligen Widerspruch beim Ausreisedatum, reicht nicht aus, um die Ausreise als legal zu betrachten. In einer Gesamtbetrachtung genügt es nicht, nur gestützt auf diese beiden kleinen Ungereimtheiten von einer legalen Ausreise auszugehen. Es überwiegen die Elemente, welche die Ausreise als illegal erscheinen lassen. Folglich ist von einer illegalen Ausreise der 35-jährigen Beschwerdeführerin aus Eritrea auszugehen, womit sie die Flüchtlingseigenschaft gemäss Art. 54 AsylG in Verbindung mit Art. 3 AsylG erfüllt.</w:t>
      </w:r>
    </w:p>
    <w:p>
      <w:r>
        <w:rPr>
          <w:b/>
        </w:rPr>
        <w:t>E. 5</w:t>
      </w:r>
    </w:p>
    <w:p>
      <w:r>
        <w:t>Es ergibt sich, dass die Beschwerdeführerin die Flüchtlingseigenschaft im Sinne von Art. 54 AsylG in Verbindung mit Art. 3 AsylG erfüllt. Folglich ist die Beschwerde gutzuheissen. Die angefochtene Verfügung ist in Ziffer 1 aufzuheben und die Vorinstanz anzuweisen, die Beschwerdeführerin als Flüchtling anzuerkennen. Der Wegweisungsvollzug ist damit unzulässig. In Anwendung von Art. 62 Abs. 1 VwVG sind deshalb auch die Dispositiv-Ziffern 4-7 (Wegweisungsgrund, Wirkung, Androhung und Auftrag zur Umsetzung der vorläufigen Aufnahme) aufzuheben, damit die Vorinstanz darüber neu verfügen kann.</w:t>
      </w:r>
    </w:p>
    <w:p>
      <w:r>
        <w:rPr>
          <w:b/>
        </w:rPr>
        <w:t>E. 6.1</w:t>
      </w:r>
    </w:p>
    <w:p>
      <w:r>
        <w:t>Bei diesem Ausgang des Verfahrens sind keine Kosten zu erheben (Art. 63 Abs. 3 VwVG i.V.m. Art. 37 VGG).</w:t>
      </w:r>
    </w:p>
    <w:p>
      <w:r>
        <w:rPr>
          <w:b/>
        </w:rPr>
        <w:t>E. 6.2</w:t>
      </w:r>
    </w:p>
    <w:p>
      <w:r>
        <w:t>Gemäss Art. 64 Abs. 1 VwVG i.V.m. Art. 37 VGG kann der obsiegenden Partei von Amtes wegen oder auf Begehren eine Entschädigung für die ihr erwachsenen Kosten zugesprochen werden (vgl. für die Grundsätze der Bemessung der Parteientschädigung ausserdem Art. 7 ff. des Reglements über die Kosten und Entschädigungen vor dem Bundesverwaltungsgericht vom 21. Februar 2008 [VGKE, SR 173.320.2]). Die Rechtsvertreterin hat eine Kostennote in Höhe von Fr. 2'210.- (inkl. Auslagen und Mehrwertsteuer) eingereicht. Die Vorinstanz ist anzuweisen, der Beschwerdeführerin diesen Betrag zu entrichten. Die Anträge auf unentgeltliche Rechtspflege, unentgeltliche Verbeiständung sowie Verzicht auf Erhebung eines Kostenvorschusses sind hiermit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