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E-5609/2014 vom 5. November 2014</w:t>
      </w:r>
    </w:p>
    <w:p>
      <w:r>
        <w:t>Bundesverwaltungsgericht, 2014-11-05, DE</w:t>
      </w:r>
    </w:p>
    <w:p>
      <w:r>
        <w:rPr>
          <w:b/>
        </w:rPr>
        <w:t xml:space="preserve">Quelle: </w:t>
      </w:r>
      <w:r>
        <w:t>https://mcp.opencaselaw.ch/entscheid/bvger_E-5609_2014</w:t>
      </w:r>
    </w:p>
    <w:p>
      <w:r>
        <w:t>FR: TAF E-5609/2014 du 5 novembre 2014</w:t>
      </w:r>
    </w:p>
    <w:p>
      <w:r>
        <w:t>IT: TAF E-5609/2014 del 5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Das Verfahren richtet sich nach dem VwVG, dem VGG und dem BGG, soweit das AsylG nichts anderes bestimmt (Art. 37 VGG und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Parteieingaben in Verfahren vor den Behörden des Bundes sind in einer Amtssprache - in der Regel Deutsch, Französisch oder Italienisch - abzufassen (Art. 70 Abs. 1 BV und Art. 33a Abs. 1 VwVG). Die Beschwerdeschrift ist vorliegend zwar nicht in einer der erwähnten Sprachen verfasst; aus verfahrensökonomischen Gründen ist die Beschwerde aber in der vorliegenden Form entgegenzunehmen. Der vorliegende Entscheid ergeht in deutscher Sprache (Art. 33a Abs. 2 VwVG i.V.m. Art. 37 VGG).</w:t>
      </w:r>
    </w:p>
    <w:p>
      <w:r>
        <w:rPr>
          <w:b/>
        </w:rPr>
        <w:t>E. 1.5</w:t>
      </w:r>
    </w:p>
    <w:p>
      <w:r>
        <w:t>Das Beschwerde ist frist- und im Übrigen auch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können die Verletzung von Bundesrecht (einschliesslich Überschreiten und Missbrauch von Ermessen)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(vgl.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w:t>
      </w:r>
    </w:p>
    <w:p>
      <w:r>
        <w:rPr>
          <w:b/>
        </w:rPr>
        <w:t>E. 5.3</w:t>
      </w:r>
    </w:p>
    <w:p>
      <w:r>
        <w:t>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w:t>
      </w:r>
    </w:p>
    <w:p>
      <w:r>
        <w:rPr>
          <w:b/>
        </w:rPr>
        <w:t>E. 5.4</w:t>
      </w:r>
    </w:p>
    <w:p>
      <w:r>
        <w:t>Gemäss neuerer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7.1 f. S. 519 f.).</w:t>
      </w:r>
    </w:p>
    <w:p>
      <w:r>
        <w:rPr>
          <w:b/>
        </w:rPr>
        <w:t>E. 6</w:t>
      </w:r>
    </w:p>
    <w:p>
      <w:r>
        <w:t>Das BFM verweigerte die Einreisebewilligung mit der Begründung, die Abklärung des Sachverhalts erfordere die Anwesenheit der Beschwerdeführenden in der Schweiz nicht; aufgrund des vollständig erstellten Sachverhalts könne vielmehr davon ausgegangen werden, dass keine unmittelbare Gefährdung vorliege, welche die Anwesenheit in der Schweiz als notwendig erscheinen lasse. Aus den Akten ergäben sich keine konkreten Hinweise oder glaubhaft gemachte Anhaltspunkte dafür, dass die Beschwerdeführenden zum Zeitpunkt der Ausreise aus Eritrea ernstzunehmende Schwierigkeiten mit den Behörden gehabt oder ihnen dort solche gedroht hätten. In Bezug auf die vorgebrachte erste Ausreise aus Eritrea im Jahre 1989 hält das BFM fest, dass kriegerische Auseinandersetzungen eine Gefährdung im Sinne von Art. 3 AsylG nicht zu begründen vermöchten und dass die Beschwerdeführenden ausserdem im Jahre 2004 wieder nach Eritrea zurückgekehrt seien und dort seither fünf Jahre gelebt hätten. In Bezug auf die zweite Ausreise am 27. Dezember 2009 stellte das BFM fest, dass auch aus finanziellen oder sozialen Problemen keine Gefährdung im Sinne von Art. 3 AsylG abgeleitet werden könne. Da sie einen rein informativen Kontakt mit den eritreischen Behörden geschildert und sich nach diesem Kontakt noch fünf Monate ohne Übergriffe seitens der eritreischen Behörden im Lande aufgehalten habe, sei es ihr nicht gelungen, eine asylrelevante Verfolgung darzulegen. Ferner stellte es fest, dass sie keine Verfolgungsgefahr für ihre Kinder geltend gemacht habe und nicht von einreiserelevanten Problemen im Sudan auszugehen sei. Auch wenn davon ausgegangen werden könne, dass sie Eritrea illegal verlassen hätten, handle es sich dabei um einen subjektiven Nachfluchtgrund im Sinne von Art. 54 AsylG, was die Asylgewährung ausschliesse. Im Hinblick auf die auszusprechende Wegweisung könne keine Einreisebewilligung erteilt werden. Deshalb erübrige sich die Prüfung der weiteren Voraussetzungen einer Einreisebewilligung.</w:t>
      </w:r>
    </w:p>
    <w:p>
      <w:r>
        <w:rPr>
          <w:b/>
        </w:rPr>
        <w:t>E. 7</w:t>
      </w:r>
    </w:p>
    <w:p>
      <w:r>
        <w:t>Die Beschwerdeführenden bekräftigen auf Beschwerdeebene im Wesentlichen ihre bisherigen Vorbringen und machen weitere Schwierigkeiten im Sudan geltend. Mit den Erwägungen der Vorinstanz, in welchen diese zu Recht und mit zutreffender Begründung das Fehlen von Vorfluchtgründen festgestellt hat, setzen sie sich dagegen nicht auseinander. Daher kann ohne weiteren Begründungsaufwand und unter Verweis auf die vorinstanzlichen Ausführungen (vgl. E. 6) das Fehlen von Vorfluchtgründen festgestellt werden, zumal die Beschwerdeführerin 1 in ihren Schreiben vom 6. August 2012, vom 1. Juni 2014 sowie vom 18. September 2014 eindringlich beschreibt, dass sie Eritrea aus finanziellen Gründen verlassen habe, wobei die Situation bereits mit den regelmässigen Zahlungen von "Taschengeld" hart gewesen sei, aber mit dem Wegfallen dieser Zahlungen infolge Verschwindens ihres Ehemannes unerträglich geworden sei. Eine asylrelevante Verfolgung im Sudan, wo sie Zuflucht gefunden haben, liegt aufgrund der Akten ebenfalls keine vor. Das BFM liess offen, ob die Beschwerdeführenden illegal aus Eritrea ausgereist waren und damit einen subjektiven Nachfluchtgrund geschaffen hätten. Zutreffend stellte es hingegen fest, dass, wenn lediglich subjektive Nachfluchtgründe vorliegen, die Einreise wegen des entsprechenden Asylausschlussgrundes trotz des allfälligen Bestehens der Flüchtlingseigenschaft von Asylsuchenden, die sich im Ausland aufhalten, gemäss BVGE 2012/26 E. 7 zu verweigern sei. Soweit die Beschwerdeführenden eine allfällige Verfolgungsgefahr durch sogenannte Republikflucht geschaffen haben, ist ihnen die Einreise in die Schweiz folglich mangels Vorfluchtgründe - ungeachtet ihrer Lebensumstände im Sudan und des allfälligen Bestehens der Flüchtlingseigenschaft - dennoch zu verweigern.</w:t>
      </w:r>
    </w:p>
    <w:p>
      <w:r>
        <w:rPr>
          <w:b/>
        </w:rPr>
        <w:t>E. 8</w:t>
      </w:r>
    </w:p>
    <w:p>
      <w:r>
        <w:t>Aus diesen Erwägungen ergibt sich, dass die angefochtene Verfügung im Lichte von Art. 106 Abs. 1 AsylG nicht zu beanstanden ist. Die Beschwerde ist abzuweisen.</w:t>
      </w:r>
    </w:p>
    <w:p>
      <w:r>
        <w:rPr>
          <w:b/>
        </w:rPr>
        <w:t>E. 9</w:t>
      </w:r>
    </w:p>
    <w:p>
      <w:r>
        <w:t>Bei diesem Ausgang des Verfahrens wären die Kosten gemäss Art. 63 Abs. 1 VwVG den Beschwerdeführenden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