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E-5608/2018 vom 19. Dezember 2019</w:t>
      </w:r>
    </w:p>
    <w:p>
      <w:r>
        <w:t>Bundesverwaltungsgericht, 2019-12-19, DE</w:t>
      </w:r>
    </w:p>
    <w:p>
      <w:r>
        <w:rPr>
          <w:b/>
        </w:rPr>
        <w:t xml:space="preserve">Quelle: </w:t>
      </w:r>
      <w:r>
        <w:t>https://mcp.opencaselaw.ch/entscheid/bvger_E-5608_2018</w:t>
      </w:r>
    </w:p>
    <w:p>
      <w:r>
        <w:t>FR: TAF E-5608/2018 du 19 décembre 2019</w:t>
      </w:r>
    </w:p>
    <w:p>
      <w:r>
        <w:t>IT: TAF E-5608/2018 del 19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führte die Vorinstanz aus, aufgrund der unsubstanziierten und nicht schlüssigen Darlegungen des Beschwerdeführers sei die von ihm vorgebrachte staatliche Verfolgung als unglaubhaft zu erachten. Er habe widersprüchliche Angaben zu den Umständen seiner Transporte mutmasslicher PKK-Mitglieder gemacht und es bleibe offen, weshalb diese Fahrten hätten illegal sein sollen. Gemäss seinen Aussagen habe der Beschwerdeführer nie Probleme beim Passieren von Kontrollposten gehabt, und es habe niemand Kenntnis von diesen Fahrten gehabt. Er habe nicht schlüssig herzuleiten vermocht, dass er von den Behörden gesucht werde. Es sei nicht nachvollziehbar, dass die Behörden mit einer öffentlichen Ausschreibung riskiert hätten, ihn vorzuwarnen. Ebenfalls nicht überzeugend sei, dass er nach der Verhaftung seiner Freunde noch eine Woche im Irak verblieben sei und in dieser Zeit nicht versucht habe, sein zur Fahndung ausgeschriebenes Auto loszuwerden. Bis zu seiner Ausreise sei er nicht mit dem Geheimdienst im Kontakt gewesen. Seine Vorbringen würden in Kernpunkten nur auf Aussagen Dritter und subjektiven Befürchtungen beruhen, und es mangle seinen Schilderungen an Einzelheiten und persönlichen Wahrnehmungen. Demnach seien seinen Ausführungen keine konkreten Anhaltspunkte dafür zu entnehmen, dass ein gezieltes Verfolgungsinteresse der nordirakischen Behörden an seiner Person bestehe, beziehungsweise dass er asylrelevanten Nachteile erlitten habe. Die Vorbringen des Beschwerdeführers vermöchten den Anforderungen an die Glaubhaftigkeit gemäss Art. 7 AsylG nicht standzuhalten. Im Weiteren würden sich aus den Akten auch keine Anhaltspunkte dafür ergeben, dass ihm im Falle einer Rückkehr in den Heimatstaat mit beachtlicher Wahrscheinlichkeit eine durch Art. 3 EMRK verbotene Strafe oder Behandlung drohe. Der Beschwerdeführer stamme aus der nordirakischen Provinz Dohuk. Für die einheimische kurdische Bevölkerung in der KRG-Region sei - auch unter Berücksichtigung der grossen Flüchtlingswelle seit dem Jahr 2014 sowie der Unruhen und Turbulenzen im Zusammenhang mit dem Unabhängigkeitsreferendum vom 25. September 2017 - nicht von einer konkreten Gefährdung im Sinne von Art. 83 Abs. 4 AIG auszugehen. Es herrsche in diesem Gebiet keine Situation allgemeiner Gewalt. Zudem würden auch keine individuellen Gründe gegen die Zumutbarkeit des Wegweisungsvollzugs sprechen. Der Beschwerdeführer verfüge in C._______ über ein familiäres Beziehungsnetz sowie über eine Schulbildung und berufliche Erfahrung.</w:t>
      </w:r>
    </w:p>
    <w:p>
      <w:r>
        <w:rPr>
          <w:b/>
        </w:rPr>
        <w:t>E. 3.2</w:t>
      </w:r>
    </w:p>
    <w:p>
      <w:r>
        <w:t>Der Beschwerdeführer stellte sich in seiner Beschwerdeeingabe auf den Standpunkt, die Vorinstanz habe seine Vorbringen zu Unrecht als unglaubhaft erachtet. Er habe schlüssig, plausibel und substanziiert dargelegt, weshalb er aufgrund seiner Tätigkeit als Taxifahrer ins Visier der irakischen Sicherheitskräfte geraten sei. Das SEM habe in der angefochtenen Verfügung mehrfach seine protokollierten Aussagen anlässlich der Befragungen falsch wiedergegeben und auf unzulässige Weise interpretiert. Er habe von Anfang an gewusst, dass die erwähnten Fahrgäste, die er transportiert habe, PKK-Mitglieder gewesen seien. Da diese Personen, wie sich herausgestellt habe, nicht über eine echte Aufenthaltserlaubnis verfügt hätten, seien diese Fahrten illegal gewesen. Er habe sich somit gegebenenfalls der Unterstützung und des Sympathisierens mit der PKK schuldig gemacht. Die Aussagen in der angefochtenen Verfügung, es habe niemand von den Transporten gewusst und er habe nie Probleme an Kontrollposten gehabt, sei falsch. Zumindest seine Freunde hätten Kenntnis von den Transporten gehabt, und er habe nie ausgesagt, dass er bei den genannten Fahrten Kontrollposten passiert habe. Dass er nicht kontrolliert worden sei, sei nicht ungewöhnlich, da eine Taxifahrt nicht per se zum schwer-wiegenden Verdacht einer illegalen Handlung führe. Er habe nicht nur von einer, sondern von mehreren Personen erfahren, dass sein Kontrollschild zur Fahndung ausgeschrieben sei. Dass er sich nicht persönlich von der Ausschreibung überzeugt habe, könne ihm nicht angelastet werden. Eine derartige Meldung gesuchter Fahrzeuge an die Kontrollposten sei nicht unüblich. Der vorliegende Haftbefehl zeige, dass der Inlandsgeheimdienst ein Verfahren gegen ihn eingeleitet habe. Die Argumentation der Vorinstanz, er habe sich zwischen der Verhaftung seiner Kollegen und seiner Ausreise nicht darum bemüht, sein Auto los-zuwerden, sei eine blosse Behauptung. Er habe keine diesbezüglichen Aussagen zu Protokoll gegeben. Er werde von den irakischen Behörden gesucht und er müsse mit einer Verhaftung und einer Gefängnisstrafe rechnen. Aus diesen Gründen sei ihm die Flüchtlingseigenschaft zuzuerkennen und Asyl zu gewähren. Es drohe ihm wegen der Beförderung von PKK-Mitgliedern eine Gefährdung seines Lebens und seiner Freiheit beziehungsweise eine gemäss Art. 3 EMRK verbotene Strafe oder Behandlung. Der Sicherheitsdienst Asayesh sowie die kurdischen Sicherheitskräfte würden in mehrfacher Hinsicht das Recht auf ein faires Verfahren missachten. Der Vollzug der Wegweisung sei demnach unzulässig. Im Weiteren habe die Vorinstanz verkannt, dass sich die Sicherheits- und Menschenrechtslage im KRG-Gebiet zunehmend zuspitze. Sie stehe wegen der hohen Zahl an Flüchtlingen und den innenpolitischen Spannungen vor dem Zusammenbruch. Es liege daher eine konkrete Gefährdung im Sinn von Art. 83 Abs. 4 AIG vor, und der Wegweisungsvollzug erweise sich folglich als unzumutbar.</w:t>
      </w:r>
    </w:p>
    <w:p>
      <w:r>
        <w:rPr>
          <w:b/>
        </w:rPr>
        <w:t>E. 3.3</w:t>
      </w:r>
    </w:p>
    <w:p>
      <w:r>
        <w:t>In ihrer Vernehmlassung argumentierte die Vorinstanz namentlich, es sei nicht nachvollziehbar und wenig schlüssig, dass der Beschwerdeführer, obwohl er angeblich von Anfang an gewusst habe, dass es sich bei seinen Fahrgästen um PKK-Mitglieder gehandelt habe, sich den mit den Fahrten verbundenen Risiken nicht bewusst gewesen sei und keine Zweifel an den von diesen Personen vorgezeigten Papieren gehabt habe. Den im Beschwerdeverfahren eingereichten Haftbefehl habe er im erstinstanzlichen Verfahren nicht erwähnt, obwohl er ausgesagt habe, stets mit seiner Familie im Irak in Kontakt zu stehen. Vielmehr habe er verneint, je angeklagt worden zu sein.</w:t>
      </w:r>
    </w:p>
    <w:p>
      <w:r>
        <w:rPr>
          <w:b/>
        </w:rPr>
        <w:t>E. 3.4</w:t>
      </w:r>
    </w:p>
    <w:p>
      <w:r>
        <w:t>Der Beschwerdeführer führte in seiner Replik aus, die Vorinstanz vermöge nicht zu begründen, weshalb er Zweifel an den ihm von seinen Fahrgästen vorgelegten Papieren hätte haben sollen. Die Annahme, diese seien zweifelhafter Natur gewesen, sei rein spekulativ. Es sei davon auszugehen, dass diese Bewilligungen täuschend echt ausgesehen hätten, so dass er zum Schluss gekommen sei, die Transporte seien legal. Er habe den Haftbefehl nicht früher einreichen können, da seine Familie ihn zunächst nicht über diesen in Kenntnis gesetzt habe, um ihn nicht unnötig in Aufruhr zu versetzen. Zu Recht habe er verneint, je angeklagt, verhaftet oder verurteilt worden zu sein. Überdies sei die Korrektheit des Haftbefehls von der Vorinstanz nicht in Frage gestellt worden. Durch diesen sei belegt, dass er im Heimatstaat verfolgt werde.</w:t>
      </w:r>
    </w:p>
    <w:p>
      <w:r>
        <w:rPr>
          <w:b/>
        </w:rPr>
        <w:t>E. 3.5</w:t>
      </w:r>
    </w:p>
    <w:p>
      <w:r>
        <w:t>In der ergänzenden Eingabe vom 18. April 2019 wurde namentlich ausgeführt, die irakischen Behörden hätten ihn vermutlich öffentlich zur Fahndung ausgeschrieben, weil sie davon ausgegangen seien, er werde in Unkenntnis der Ausschreibung an einem der vielen Kontrollposten festgenommen. Er sei ausgereist, sobald er von der Ausschreibung seines Kontrollschilds erfahren habe. Dass er als Taxifahrer verfolgt werde, sei willkürlich. Es sei nicht seine Aufgabe gewesen, vor jeder Fahrt zu überprüfen, ob seine Fahrgäste Verbrechen begangen hätten. Sein Vater habe eine Kopie des Haftbefehls von einem ihm bekannten Geheimdienstmitarbeiter erhalten. Er habe ihn nicht vorher darüber in Kenntnis gesetzt, weil die telefonische Kommunikation durch den irakischen Geheimdienst überwacht werde und seine Eltern eigentlich keine Kenntnis des Haftbefehls hätten haben dürfen. Sein Vater habe ihm dieses Dokument übermittelt, nachdem er ihn darüber informiert habe, dass die Vorinstanz sein Asylgesuch abgelehnt habe, weil man ihm die Verfolgung nicht geglaubt habe. Nach dem Ergehen des Haftbefehls sei er mehrmals von Angehörigen der Sicherheitskräfte bei seiner Familie in C._______ gesucht worden, was durch die der Beschwerdeergänzung beigelegten Fotos dokumentiert werde. Die Sicherheitslage in C._______ sei wegen des Erscheinens des sogenannten Islamischen Staates (IS) äusserst instabil. Schliesslich habe er sich in der Schweiz in beruflicher, sprachlicher und sozialer Hinsicht bestens integriert.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Asyl 2/2015 S. 5).</w:t>
      </w:r>
    </w:p>
    <w:p>
      <w:r>
        <w:rPr>
          <w:b/>
        </w:rPr>
        <w:t>E. 5.2</w:t>
      </w:r>
    </w:p>
    <w:p>
      <w:r>
        <w:t>Unter Berücksichtigung dieser Grundsätze der Glaubhaftigkeitsprüfung gelangt das Gericht in Übereinstimmung mit der Vorinstanz zum Schluss, dass die vom Beschwerdeführer behauptete Gefährdung als unglaubhaft zu erachten ist.</w:t>
      </w:r>
    </w:p>
    <w:p>
      <w:r>
        <w:rPr>
          <w:b/>
        </w:rPr>
        <w:t>E. 5.2.1</w:t>
      </w:r>
    </w:p>
    <w:p>
      <w:r>
        <w:t>Die Asylvorbringen des Beschwerdeführers erweisen sich generell als unsubstanziiert und vage. Gemäss seinen Aussagen bei der Anhörung handelt es sich um blosse Vermutungen, dass die von ihm und seinen Freunden transportierten PKK-Mitglieder keine gültige Aufenthaltserlaubnis gehabt hätten, sowie dass seine Freunde aus diesem Grund verhaftet worden seien und seinen Namen unter Folter preisgegeben hätten (vgl. SEM-Akten A11 F82 f., F92). Er vermochte keine stichhaltigen und plausiblen Anhaltspunkte für diese Annahmen vorzubringen. Die Erklärung des Beschwerdeführers, er habe von anderen Taxifahrern erfahren, dass sein Auto bei den Kontrollposten zur Fahndung ausgeschrieben worden sei, wurde von der Vorinstanz zu Recht als unglaubhaft bezeichnet. Es ist offensichtlich realitätsfremd, dass die nordirakischen Sicherheitskräfte Fahndungen so ausschreiben, dass sie für unbeteiligte Dritte einsehbar sind, würden sie doch durch eine solche Vorgehensweise ihre Suchbemühungen erheblich gefährden. Nachdem der Beschwerdeführer nicht glaubhaft darzulegen vermag, dass er aus asylrechtlich relevanten Gründen durch die nordirakischen Behörden gesucht wird, rechtfertigen sich auch begründete Zweifel an der behaupteten Beschlagnahmung seines Fahrzeugs sowie der mehrmaligen Suche nach ihm zu Hause nach seiner Ausreise.</w:t>
      </w:r>
    </w:p>
    <w:p>
      <w:r>
        <w:rPr>
          <w:b/>
        </w:rPr>
        <w:t>E. 5.2.2</w:t>
      </w:r>
    </w:p>
    <w:p>
      <w:r>
        <w:t>Auch die vom Beschwerdeführer im Rahmen des Beschwerdeverfahrens eingereichten Beweismittel sind nicht geeignet, die behauptete Verfolgung durch die nordirakischen Behörden zu belegen. Der Haftbefehl liegt nur in Form einer Kopie vor, welcher aufgrund der leichten Manipulierbarkeit ein reduzierter Beweiswert beizumessen ist. Zudem fällt auf, dass ein Teil der Angaben zum Grund für die Fahndung auf diesem Dokument abgedeckt ist, was die Zweifel an dessen Authentizität erhärtet. Schliesslich vermochte der Beschwerdeführer nicht plausibel zu begründen, aus welchem Grund er den angeblich am (...) 2015 ausgestellten Haftbefehl nicht schon im Laufe des erstinstanzlichen Verfahrens eingereicht hat. Seine Erklärung, seine Familie habe ihn darüber zunächst nicht informiert, um ihn nicht zu beunruhigen, muss als lebensfremde Schutzbehauptung bewertet werden. Ebenso wenig überzeugend ist das Vorbringen, sein Vater habe ihn darüber nicht informieren können, weil "die Telekommunikation" vom Geheimdienst überwacht werde - dies auch angesichts der Tatsache, dass er ihm das Dokument schliesslich doch per Whatsapp übermittelt haben soll. Den eingereichten Fotos kann in Bezug auf die behauptete Suche nach dem Beschwerdeführer ebenfalls kein Beweiswert beigemessen werden. Selbst wenn es sich bei der Person, die auf diesen zusammen mit mehreren Uniformierten zu sehen ist, tatsächlich um seinen Vater handeln sollte, ist diesen Aufnahmen nicht zu entnehmen, wann sie entstanden und aus welchem Grund die uniformierten Personen vorsprachen. Ein Zusammenhang dieser Aufnahmen mit der vom Beschwerdeführer geltend gemachten Verfolgung ist somit nicht erkennbar.</w:t>
      </w:r>
    </w:p>
    <w:p>
      <w:r>
        <w:rPr>
          <w:b/>
        </w:rPr>
        <w:t>E. 5.2.3</w:t>
      </w:r>
    </w:p>
    <w:p>
      <w:r>
        <w:t>Bei diesem Ergebnis kann die Frage offenbleiben, ob die weiteren in der angefochtenen Verfügung erwähnten Ungereimtheiten dem Beschwerdeführer von der Vorinstanz berechtigterweise vorgehalten wurden.</w:t>
      </w:r>
    </w:p>
    <w:p>
      <w:r>
        <w:rPr>
          <w:b/>
        </w:rPr>
        <w:t>E. 5.3</w:t>
      </w:r>
    </w:p>
    <w:p>
      <w:r>
        <w:t>Nach dem Gesagten gelangt das Gericht in Übereinstimmung mit der Vorinstanz zum Schluss, dass sich den Akten auch unter Berücksichtigung des reduzierten Beweismassstabs des Glaubhaftmachens keine konkreten Anhaltspunkte dafür entnehmen lassen, dass der Beschwerdeführer begründete Furcht hat, mit beachtlicher Wahrscheinlichkeit in absehbarer Zukunft asylrelevante Nachteile zu erleiden.</w:t>
      </w:r>
    </w:p>
    <w:p>
      <w:r>
        <w:rPr>
          <w:b/>
        </w:rPr>
        <w:t>E. 5.4</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KRG-Region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des BVGer D-1477/2018 vom 10. August 2018 E. 7.3.4).</w:t>
      </w:r>
    </w:p>
    <w:p>
      <w:r>
        <w:rPr>
          <w:b/>
        </w:rPr>
        <w:t>E. 7.2.5</w:t>
      </w:r>
    </w:p>
    <w:p>
      <w:r>
        <w:t>Der Vollzug der Wegweisung des Beschwerdeführers erweist sich damit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konstanter Praxis geht das Gericht davon aus, dass ein Wegweisungsvollzug in die kurdischen Provinzen im Nordirak (KRG-Region)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w:t>
      </w:r>
    </w:p>
    <w:p>
      <w:r>
        <w:rPr>
          <w:b/>
        </w:rPr>
        <w:t>E. 7.3.3</w:t>
      </w:r>
    </w:p>
    <w:p>
      <w:r>
        <w:t>Beim Beschwerdeführer handelt es sich - soweit aktenkundig - um einen jungen, alleinstehenden und gesunden kurdischen Mann. Er stammt aus C._______, Provinz Dohuk, wo er bis zu seiner Ausreise lebte und über ein familiäres Beziehungsnetz verfügt (Eltern, Geschwister). Gemäss seinen Angaben steht er nach wie vor mit seinen Angehörigen in Kontakt, und es darf angenommen werden, dass er auf deren Unterstützung zählen kann. Der Beschwerdeführer hat zudem mehrjährige Berufserfahrung, unter anderem als Taxifahrer, sammeln können. Es ist kann somit davon ausgegangen werden, dass es ihm möglich sein wird, sich bei seiner Rückkehr in den Nordirak sowohl sozial als auch wirtschaftlich zu reintegrieren. Den Akten sind keine Anhaltspunkte für die Annahme zu entnehmen, dass er in eine existenzielle Notlage geraten könnte.</w:t>
      </w:r>
    </w:p>
    <w:p>
      <w:r>
        <w:rPr>
          <w:b/>
        </w:rPr>
        <w:t>E. 7.3.4</w:t>
      </w:r>
    </w:p>
    <w:p>
      <w:r>
        <w:t>Hinsichtlich der geltend gemachten und mit mehreren Dokumenten belegten Integrationsbemühungen des Beschwerdeführers in der Schweiz ist darauf hinzuweisen, dass eine weit fortgeschrittene Integration nach Gesetz und Praxis höchstens indirekt bei der Beurteilung der Zumutbarkeit des Vollzugs eine Rolle spielen kann, nämlich wenn die betreffende Person in der Schweiz derart verwurzelt ist, dass bei Durchführung des Vollzugs (reziprok) eine Entwurzelung im Heimatstaat zu erwarten ist (vgl. zu dieser vorab für Kinder und Jugendliche entwickelten Praxis insbes. BVGE 2009/28 E. 9.3 ff. und 2009/51 E. 5.6 m.w.H.). Für das Vorliegen einer derartigen Situation des im Erwachsenenalter aus dem Heimatstaat aus-gereisten Beschwerdeführers ergeben sich aus den Akten ebenfalls keine Hinweise.</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