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E-5605/2018 vom 2. November 2018</w:t>
      </w:r>
    </w:p>
    <w:p>
      <w:r>
        <w:t>Bundesverwaltungsgericht, 2018-11-02, DE</w:t>
      </w:r>
    </w:p>
    <w:p>
      <w:r>
        <w:rPr>
          <w:b/>
        </w:rPr>
        <w:t xml:space="preserve">Quelle: </w:t>
      </w:r>
      <w:r>
        <w:t>https://mcp.opencaselaw.ch/entscheid/bvger_E-5605_2018</w:t>
      </w:r>
    </w:p>
    <w:p>
      <w:r>
        <w:t>FR: TAF E-5605/2018 du 2 novembre 2018</w:t>
      </w:r>
    </w:p>
    <w:p>
      <w:r>
        <w:t>IT: TAF E-5605/2018 del 2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einzutreten.</w:t>
      </w:r>
    </w:p>
    <w:p>
      <w:r>
        <w:rPr>
          <w:b/>
        </w:rPr>
        <w:t>E. 2.1</w:t>
      </w:r>
    </w:p>
    <w:p>
      <w:r>
        <w:t>Gegenstand des vorliegenden Verfahrens bilden die Flüchtlingseigenschaft, der Asylpunkt sowie die Wegweisung. Der Wegweisungsvollzug ist nicht mehr zu prüfen, nachdem die Vorinstanz die Beschwerdeführenden und ihre Kinder zufolge Unzumutbarkeit des Wegweisungsvollzugs vorläufig aufgenommen hat.</w:t>
      </w:r>
    </w:p>
    <w:p>
      <w:r>
        <w:rPr>
          <w:b/>
        </w:rPr>
        <w:t>E. 2.2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Beschwerdeführenden rügen in verschiedener Hinsicht die Verletzung des rechtlichen Gehörs.</w:t>
      </w:r>
    </w:p>
    <w:p>
      <w:r>
        <w:rPr>
          <w:b/>
        </w:rPr>
        <w:t>E. 4.2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4.3</w:t>
      </w:r>
    </w:p>
    <w:p>
      <w:r>
        <w:t>Die Beschwerdeführenden monieren eine Verletzung des Akteneinsichtsrechts respektive des rechtlichen Gehörs, da die Vorinstanz ihnen die Einsicht in die Akte A25/3 (Schreiben des [...]amtes des Kantons K._______ an die Vorinstanz vom 25. Juli 2018) mit der Begründung verweigert habe, es handle sich um eine Akte einer anderen Behörde. Wie aus der Zwischenverfügung vom 11. Oktober 2018 hervorgeht, hätte die Vorinstanz den Beschwerdeführenden das Aktenstück A25/3 zur Einsicht zustellen müssen (vgl. dazu die entsprechende Begründung in der Zwischenverfügung). Jedoch entfaltet das genannte Dokument in Bezug auf die von den Beschwerdeführenden geltend gemachten Fluchtgründe keinerlei Relevanz und die Vorinstanz hat sich in der angefochtenen Verfügung auch nicht darauf abgestützt (Art. 28 VwVG). Insoweit liegt diesbezüglich keine Bundesrechtsverletzung vor. Die Rüge ist unbegründet.</w:t>
      </w:r>
    </w:p>
    <w:p>
      <w:r>
        <w:rPr>
          <w:b/>
        </w:rPr>
        <w:t>E. 4.4</w:t>
      </w:r>
    </w:p>
    <w:p>
      <w:r>
        <w:t>Die Beschwerdeführenden beanstanden sodann, die Vorinstanz habe die Begründungspflicht und das rechtliche Gehör verletzt, indem sie sich nicht mit der von ihr neu entwickelten Praxis bezüglich der illegalen Ausreise aus Syrien auseinandergesetzt habe. Vorliegend ist festzustellen, dass sich die Vorinstanz in der angefochtenen Verfügung mit den wesentlichen Äusserungen des Beschwerdeführers in Bezug auf seine Asylgründe auseinandergesetzt hat. Dabei kam sie zum Schluss, dass seine Vorbringen unglaubhaft sowie nicht asylrelevant seien. Es erübrigte sich aus ihrer Sicht zu Recht eine Auseinandersetzung mit der illegalen Ausreise als subjektivem Nachfluchtgrund, zumal eine illegale Ausreise aus Syrien praxisgemäss keine flüchtlingsrechtliche Relevanz entfalten kann, sofern keine Verfolgungssituation im Sinne von Art. 3 AsylG und keine besondere Vorbelastung vorliegen (vgl. zur Praxis des BVGer betreffend die illegale Ausreise aus Syrien u.a. Urteil des BVGer E-3692/2016 vom 13. Oktober 2017 E. 4.7). Solche sind, wie nachfolgend ausgeführt, vorliegend nicht ersichtlich. Die Rüge ist somit unbegründet.</w:t>
      </w:r>
    </w:p>
    <w:p>
      <w:r>
        <w:rPr>
          <w:b/>
        </w:rPr>
        <w:t>E. 5.1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Die Beschwerdeführenden rügen, die Vorinstanz habe den Sachverhalt nicht richtig festgestellt. Sie habe die Akten der sich in der Schweiz aufhaltenden Verwandten nicht beigegezogen, obwohl der Beschwerdeführer darauf hingewiesen habe, dass er wegen dieser Verwandten verfolgt worden sei. Aus der angefochtenen Verfügung ist nicht ersichtlich, ob die Akten der Verwandten, insbesondere von Onkel J._______, durch die Vorinstanz beigezogen wurden. Es stellt sich die Frage, ob der Beizug überhaupt erforderlich war. Die Vorinstanz hat die Beschwerdeführenden angehört und die Vorbringen ernsthaft geprüft. Dabei kam sie hinsichtlich der geltend gemachten Reflexverfolgung zu Recht zum Schluss, die Beschwerdeführenden hätten mit ihren Ausführungen nicht ausreichend dargelegt, dass sich die Suche nach dem Onkel für sie, bei einem weiteren Verbleib in Syrien, mit beachtlicher Wahrscheinlichkeit zu einer Verfolgung entwickelt hätte. Namentlich habe der Beschwerdeführer selbst zu Protokoll gegeben, bei den Hausdurchsuchungen durch die PYD im Zusammenhang mit seinem Onkel sei ihm und seiner Familie nichts geschehen (vgl. SEM-Akten A23/17 F25 ff.). Demnach war ein Beizug des Dossiers nicht notwendig. Bei der in der Beschwerde zitierten Stelle (SEM-Akte A8/15 Ziff. 3.02) handelt es sich schliesslich nicht um die Schilderung von Verfolgungshandlungen aufgrund der Verwandten, sondern lediglich um eine Aufzählung der in der Schweiz anwesenden Verwandtschaft. Diese Rüge ist ebenfalls unbegründet.</w:t>
      </w:r>
    </w:p>
    <w:p>
      <w:r>
        <w:rPr>
          <w:b/>
        </w:rPr>
        <w:t>E. 5.3</w:t>
      </w:r>
    </w:p>
    <w:p>
      <w:r>
        <w:t>Die Beschwerdeführenden bringen weiter vor, die Vorinstanz habe ihre Abklärungspflicht verletzt, indem sie eine Dokumentenanalyse der vom Beschwerdeführer eingereichten Einberufung in den Reservedienst unterlassen habe. Die Vorinstanz hat in der angefochtenen Verfügung das genannte Dokument aufgeführt und gewürdigt. Sie führte aus, dieses Dokument weise keine fälschungssicheren Merkmale auf. Es sei allgemein bekannt, dass in Syrien praktisch jegliche Art von Dokumenten käuflich erwerbbar seien. Der Beweiswert solcher Dokumente sei daher gering. Dazu ist anzumerken, dass die Vorinstanz nicht verpflichtet ist, eine Dokumentenanalyse vorzunehmen, wenn sie davon ausgeht, die beigebrachten Beweismittel seien leicht käuflich erwerbbar, und daher selbst die Feststellung der Echtheit keine Aussagekraft hätte. Eine Verletzung der Abklärungspflicht liegt in diesem Zusammenhang nicht vor.</w:t>
      </w:r>
    </w:p>
    <w:p>
      <w:r>
        <w:rPr>
          <w:b/>
        </w:rPr>
        <w:t>E. 6</w:t>
      </w:r>
    </w:p>
    <w:p>
      <w:r>
        <w:t>Zusammenfassend ist festzuhalten, dass die formellen Rügen unbegründet sind. Insoweit besteht auch keine Veranlassung, der Vorinstanz - wie von den Beschwerdeführenden beantragt - die Beschwerde mit dem Verweis auf die Möglichkeit einer vernehmlassungsweisen Wiederaufnahme des Verfahrens im Sinne von Art. 58 Abs. 1 VwVG zukommen zu lassen. Eine Aufhebung der angefochtenen Verfügung aus formellen Gründen und die Rückweisung der Sache an die Vorinstanz fallen ebenfalls ausser Betracht.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8.1</w:t>
      </w:r>
    </w:p>
    <w:p>
      <w:r>
        <w:t>Die Vorinstanz gelangt in der angefochtenen Verfügung zum Schluss, die Vorbringen des Beschwerdeführers würden den Anforderungen an das Glaubhaftmachen gemäss Art. 7 AsylG und an die Flüchtlingseigenschaft gemäss Art. 3 AsylG nicht standhalten. Es bestünden keine konkreten Anhaltspunkte für eine Reflexverfolgung. Es habe in einem Zeitraum von ein bis zwei Monaten Hausdurchsuchungen gegeben, weil nach dem Onkel des Beschwerdeführers gesucht worden sei. Der Familie sei dabei nichts geschehen. Nachdem der Beschwerdeführer ausgereist sei, sei die Beschwerdeführerin noch dort geblieben, ohne dass es zu weiteren Hausdurchsuchungen oder sonstigen Problemen gekommen sei. Der Beschwerdeführer habe zudem die Einberufung in den aktiven Reservedienst nicht glaubhaft machen können. Er habe seine Einberufung auf ein gefälschtes Dokument gestützt und von einer Vorladung gesprochen, obwohl es sich um einen an die Polizei gerichteten Haftbefehl gehandelt habe. Die militärische Nummer im Militärbüchlein würde nicht mit der Nummer auf dieser Vorladung beziehungsweise diesem Haftbefehl übereinstimmen und es fehle auch das Ausstellungsdatum. Sodann sei es unwahrscheinlich, dass ein echter Haftbefehl in den Händen des zu Verhaftenden sei. Das Dokument weise darüber hinaus keine fälschungssicheren Merkmale auf. Es sei allgemein bekannt, dass in Syrien praktisch jegliche Art von Dokumenten käuflich erworben werden können. Die Beweiskraft solcher Dokumente sei entsprechend gering. Den Ausführungen des Beschwerdeführers fehle es bei diesem Vorbringen an konkreten und substantiierten Hinweisen. Dass die Eltern des Beschwerdeführers nach dessen Ausreise kontaktiert worden seien, lasse sich nicht überprüfen, wobei dies alleine aber ohnehin keine begründete Furcht vor künftiger Verfolgung belegen würde. Die Beschwerdeführerin sei ausserdem noch länger in Syrien geblieben und habe gesagt, dass niemand nach der Ausreise des Beschwerdeführers nach ihm gesucht habe.</w:t>
      </w:r>
    </w:p>
    <w:p>
      <w:r>
        <w:rPr>
          <w:b/>
        </w:rPr>
        <w:t>E. 8.2</w:t>
      </w:r>
    </w:p>
    <w:p>
      <w:r>
        <w:t>Die Beschwerdeführenden rügen in der Rechtsmitteleingabe eine Verletzung von Art. 3 und Art. 7 AsylG. Insbesondere halten sie an der Glaubhaftigkeit der Einberufung des Beschwerdeführers in den Reservedienst fest. Die Reflexverfolgung aufgrund der Verwandten sei im Gesamtzusammenhang mit der Dienstverweigerung zu würdigen. Zudem habe der Beschwerdeführer beim Unternehmen L._______ gearbeitet, welches in enger Verbindung mit dem syrischen Regime stehe. Aufgrund der Dienstverweigerung als ehemaliger Arbeitnehmer sei der Beschwerdeführer deshalb besonders stark verfolgt.</w:t>
      </w:r>
    </w:p>
    <w:p>
      <w:r>
        <w:rPr>
          <w:b/>
        </w:rPr>
        <w:t>E. 8.3</w:t>
      </w:r>
    </w:p>
    <w:p>
      <w:r>
        <w:t>Zur vorgebrachten Reflexverfolgung aufgrund der Verwandtschaft ist festzustellen, dass der Beschwerdeführer anlässlich der Anhörung ausführte, es sei einzig zu Hausdurchsuchungen durch die PYD gekommen und ihm sowie seiner Familie sei dabei nichts geschehen. Die Hausdurchsuchungen hätten während eines Zeitraumes von einem bis zwei Monate stattgefunden, bis der Onkel ausgereist sei (vgl. SEM-Akten A23/17 F25 ff.). Die Beschwerdeführerin nannte zudem diese Hausdurchsuchungen anlässlich der Anhörung nicht als Ausreisegrund und fügte an, ihr sei in Syrien nie etwas widerfahren und sie habe nie Probleme mit anderen Personen oder dem syrischen Regime gehabt (vgl. SEM-Akten A24/6 F14 ff.) Insoweit entfaltet dieses Vorbringen keine Asylrelevanz.</w:t>
      </w:r>
    </w:p>
    <w:p>
      <w:r>
        <w:rPr>
          <w:b/>
        </w:rPr>
        <w:t>E. 8.4</w:t>
      </w:r>
    </w:p>
    <w:p>
      <w:r>
        <w:t>Betreffend die Beurteilung der Wehrdienstverweigerung ist vorab darauf hinzuweisen, dass das Bundesverwaltungsgericht nicht an die Begründung der Vorinstanz gebunden ist (Art. 62 Abs. 4 VwVG); es kann die Beschwerde auch aus anderen Überlegungen als jenen der Vorinstanz abweisen (sog. Motivsubstitution vgl. Madeleine Camprubi in: Auer/Müller/Schindler [Hrsg.], VwVG, Kommentar zum Bundesgesetz über das Verwaltungsverfahren, 2008, N 15 zu Art. 62 VwVG Kölz/Häner/Bertschi, Verwaltungsverfahren und Verwaltungsrechtspflege des Bundes, 3. Aufl. 2013, S. 398, Rz. 1136). Das Bundesverwaltungsgericht hat im Grundatzurteil BVGE 2015/3 (siehe E. 5) festgestellt, dass auch nach der Einführung von Art. 3 Abs. 3 AsylG die bisherige Rechtspraxis in Bezug auf Personen, die ihr Asylgesuch mit einer Wehrdienstverweigerung oder Desertion im Heimatstaat begründen, weiterhin gültig bleibt. Entsprechend vermag eine Wehrdienstverweigerung oder Desertion nicht allein, sondern nur verbunden mit einer Verfolgung im Sinne von Art. 3 Abs. 1 AsylG, die Flüchtlingseigenschaft zu begründen. Mit anderen Worten muss die betroffene Person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Den Akten lassen sich vorliegend keine Anhaltspunkte für gezielte Verfolgungsmassnahmen der syrischen Behörden im Sinne von Art. 3 AsylG gegen den Beschwerdeführer entnehmen. Selbst wenn von der Glaubhaftigkeit der vorgebrachten Einberufung in den Reservedienst ausgegangen würde, kann aus diesem Umstand allein nicht auf eine flüchtlingsrechtlich relevante Gefährdung geschlossen werden. Daran vermag das Vorbringen in der Rechtsmitteleingabe, wonach aufgrund der Arbeit beim der Regierung nahestehenden Unternehmen L._______ eine erhöhte Gefährdung bestehe, nichts zu ändern, zumal dieses auch nicht näher ausgeführt wird. Der Beschwerdeführer hat keine Gründe vorgebracht, welche auf ein zusätzlich vorliegendes asylrelevantes Motiv im Sinne von Art. 3 AsylG schliessen lassen, namentlich auch nicht die Reflexverfolgung sowie die Arbeitsstelle bei L._______. Somit kann letztlich die Frage, wie es sich mit der Glaubhaftigkeit der Dienstverweigerung verhält, offen bleiben.</w:t>
      </w:r>
    </w:p>
    <w:p>
      <w:r>
        <w:rPr>
          <w:b/>
        </w:rPr>
        <w:t>E. 8.5</w:t>
      </w:r>
    </w:p>
    <w:p>
      <w:r>
        <w:t>Insgesamt konnte der Beschwerdeführer keine Vorfluchtgründe nachweisen oder glaubhaft machen. Die Beschwerdeführerin und ihre Kinder machten keine eigenen in ihrer Person liegenden Fluchtgründe geltend.</w:t>
      </w:r>
    </w:p>
    <w:p>
      <w:r>
        <w:rPr>
          <w:b/>
        </w:rPr>
        <w:t>E. 9.1</w:t>
      </w:r>
    </w:p>
    <w:p>
      <w:r>
        <w:t>Flüchtlingen wird gemäss Art. 54 AsylG kein Asyl gewährt, wenn sie erst durch ihre Ausreise aus dem Heimat- oder Herkunftsstaat oder wegen ihres Verhaltens nach der Ausreise Flüchtlinge im Sinne von Artikel 3 wurden.</w:t>
      </w:r>
    </w:p>
    <w:p>
      <w:r>
        <w:rPr>
          <w:b/>
        </w:rPr>
        <w:t>E. 9.2</w:t>
      </w:r>
    </w:p>
    <w:p>
      <w:r>
        <w:t>Die Beschwerdeführenden bringen in der Rechtsmitteleingabe vor, der Beschwerdeführer habe Syrien illegal verlassen und dadurch gegen die Ausreisebestimmungen verstossen. Bei einer Rückkehr nach Syrien würde er verhaftet, gefoltert, hingerichtet oder zum Verschwinden gebracht werden. Er erfülle deshalb die Flüchtlingseigenschaft.</w:t>
      </w:r>
    </w:p>
    <w:p>
      <w:r>
        <w:rPr>
          <w:b/>
        </w:rPr>
        <w:t>E. 9.3</w:t>
      </w:r>
    </w:p>
    <w:p>
      <w:r>
        <w:t>Die alleinige illegale Ausreise reicht gemäss Praxis für die Annahme eines subjektiven Nachfluchtgrunds mit Relevanz für die Flüchtlingseigenschaft nicht aus (vgl. dazu beispielsweise Urteile des BVGer D-313/2018 vom 8. August 2018 E. 9.4 sowie D-35/2018 vom 20. Juli 2018 E. 7.8.3). Wie aus den vorstehenden Erwägungen hervorgeht, konnte der Beschwerdeführer keine konkrete Gefährdung darlegen. Es liegen somit keine subjektiven Nachfluchtgründe vor.</w:t>
      </w:r>
    </w:p>
    <w:p>
      <w:r>
        <w:rPr>
          <w:b/>
        </w:rPr>
        <w:t>E. 10</w:t>
      </w:r>
    </w:p>
    <w:p>
      <w:r>
        <w:t>Schliesslich rügen die Beschwerdeführenden, die Vorinstanz sei hinsichtlich der Beurteilung der Echtheit des eingereichten Haftbefehls beziehungsweise der eingereichten Vorladung und der behördlichen Kontaktaufnahme mit den Eltern des Beschwerdeführers in Willkür verfallen. Vorliegend wurde die Beurteilung der Glaubhaftigkeit der Vorbringen im Sinne von Art. 7 AsylG offengelassen (vgl. vorstehend E. 8.4; Motivsubstitution), weshalb diesbezüglich auf die Frage der Verletzung des Willkürverbotes nicht einzugehen ist. An dieser Stelle ist jedoch anzumerken, dass in der Rechtsmitteleingabe im Einzelnen darzulegen wäre, inwiefern der angefochtene Entscheid an einem qualifizierten und offensichtlichen Mangel leidet. Dabei liegt Willkür nicht schon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(vgl. dazu Urteil des BGer 4A_445/2016 16. Februar 2017 E. 2.3).</w:t>
      </w:r>
    </w:p>
    <w:p>
      <w:r>
        <w:rPr>
          <w:b/>
        </w:rPr>
        <w:t>E. 11</w:t>
      </w:r>
    </w:p>
    <w:p>
      <w:r>
        <w:t>Insgesamt gelingt es den Beschwerdeführenden nicht, die Flüchtlingseigenschaft nachzuweisen respektive glaubhaft zu machen. Die Vorinstanz hat zu Recht das Vorliegen der Flüchtlingseigenschaft verneint und die Asylgesuche abgelehnt.</w:t>
      </w:r>
    </w:p>
    <w:p>
      <w:r>
        <w:rPr>
          <w:b/>
        </w:rPr>
        <w:t>E. 12.1</w:t>
      </w:r>
    </w:p>
    <w:p>
      <w:r>
        <w:t>Lehnt das SEM das Asylgesuch ab oder tritt es darauf nicht ein, so verfügt es in der Regel die Wegweisung aus der Schweiz und ordnet den Vollzug an; es berücksichtigt dabei den Grundsatz der Einheit der Familie (Art. 44 AsylG).</w:t>
      </w:r>
    </w:p>
    <w:p>
      <w:r>
        <w:rPr>
          <w:b/>
        </w:rPr>
        <w:t>E. 12.2</w:t>
      </w:r>
    </w:p>
    <w:p>
      <w:r>
        <w:t>Die Beschwerdeführenden und ihre Kinder verfügen weder über eine ausländerrechtliche Aufenthaltsbewilligung noch über einen Anspruch auf Erteilung einer solchen. Die Wegweisung wurde demnach zu Recht angeordnet (vgl. BVGE 2013/37 E. 4.4; 2009/50 E. 9, je m.w.H.).</w:t>
      </w:r>
    </w:p>
    <w:p>
      <w:r>
        <w:rPr>
          <w:b/>
        </w:rPr>
        <w:t>E. 13</w:t>
      </w:r>
    </w:p>
    <w:p>
      <w:r>
        <w:t>Aus diesen Erwägungen ergibt sich, dass die angefochtene Verfügung Bundesrecht nicht verletzt, den rechtserheblichen Sachverhalt richtig sowie vollständig feststellt (Art. 106 Abs. 1 AsylG). Die Beschwerde ist abzuweisen.</w:t>
      </w:r>
    </w:p>
    <w:p>
      <w:r>
        <w:rPr>
          <w:b/>
        </w:rPr>
        <w:t>E. 14.1</w:t>
      </w:r>
    </w:p>
    <w:p>
      <w:r>
        <w:t>Die Beschwerdeführenden beantragen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als aussichtslos zu gelten haben. Damit ist eine der kumulativ zu erfüllenden Voraussetzungen zur Gewährung der unentgeltlichen Prozessführung nicht erfüllt. Das Gesuch ist abzuweisen.</w:t>
      </w:r>
    </w:p>
    <w:p>
      <w:r>
        <w:rPr>
          <w:b/>
        </w:rPr>
        <w:t>E. 14.2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