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E-5595/2012 vom 8. März 2013</w:t>
      </w:r>
    </w:p>
    <w:p>
      <w:r>
        <w:t>Bundesverwaltungsgericht, 2013-03-08, DE</w:t>
      </w:r>
    </w:p>
    <w:p>
      <w:r>
        <w:rPr>
          <w:b/>
        </w:rPr>
        <w:t xml:space="preserve">Quelle: </w:t>
      </w:r>
      <w:r>
        <w:t>https://mcp.opencaselaw.ch/entscheid/bvger_E-5595_2012</w:t>
      </w:r>
    </w:p>
    <w:p>
      <w:r>
        <w:t>FR: TAF E-5595/2012 du 8 mars 2013</w:t>
      </w:r>
    </w:p>
    <w:p>
      <w:r>
        <w:t>IT: TAF E-5595/2012 del 8 marzo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Abs. 1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w:t>
      </w:r>
    </w:p>
    <w:p>
      <w:r>
        <w:rPr>
          <w:b/>
        </w:rPr>
        <w:t>E. 3.2</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 Verfügung zum Schluss, die Vorbringen des Beschwerdeführers würden den Anforderungen an das Glaubhaftmachen gemäss Art. 7 AsylG nicht standhalten. Die eingereichte irakische Identitätskarte sowie der Nationalitätenausweis, beide ausgestellt in B._______, würden zahlreiche objektive Fälschungsmerkmale aufweisen. Zudem habe das LINGUA-Gutachten ergeben, dass der Beschwerdeführer mit Sicherheit nicht aus B._______, sondern mit überwiegender Wahrscheinlichkeit aus Sulaymaniya stamme. Aufgrund dieser Erkenntnisse würden erhebliche Zweifel an der persönlichen Glaubwürdigkeit des Beschwerdeführers bestehen. Hinzu komme, dass sich der Beschwerdeführer bezüglich wesentlicher Punkte seiner Asylvorbringen unvereinbar und damit nicht glaubhaft geäussert habe. Anlässlich der Erstbefragung habe er nicht angeben können, woher seine Mutter gewusst habe, dass er umgebracht werden sollte. Demgegenüber habe er anlässlich der Anhörung diesbezüglich von einem Drohbrief gesprochen. Sodann habe er lediglich an der Erstbefragung eine Hausdurchsuchung erwähnt.</w:t>
      </w:r>
    </w:p>
    <w:p>
      <w:r>
        <w:rPr>
          <w:b/>
        </w:rPr>
        <w:t>E. 4.2</w:t>
      </w:r>
    </w:p>
    <w:p>
      <w:r>
        <w:t>Der Beschwerdeführer hält in der Eingabe an der Echtheit der Identitätsausweise und der Tatsächlichkeit seiner Vorbringen, namentlich seiner Herkunft aus B._______ fest. Anlässlich der Gewährung des rechtlichen Gehörs wurde dem Beschwerdeführer offengelegt, die beiden Dokumente würden qualitativ in Bezug auf das Trägermaterial, den Druck und die Sicherheitselemente eindeutig vom echten Vergleichsmaterial abweichen. Mit dem blossen Festhalten an der Echtheit der beiden Ausweise legt er in der Rechtsmitteleingabe nicht substantiiert dar, inwiefern die Vorinstanz diese beiden Dokumente zu Unrecht als Fälschungen qualifiziert hat. Sodann bestand in Anbetracht der Offenkundigkeit der Fälschungsmerkmale für die Vorinstanz zu keinem Zeitpunkt Veranlassung, die Dokumente durch die irakische Botschaft auf ihre Echtheit überprüfen zu lassen. Ebenfalls im Rahmen der Gewährung des rechtlichen Gehörs eröffnete die Vorinstanz dem Beschwerdeführer, dass seine Aussprache, sein Satzbau und sein Wortschatz eindeutig gegen eine Herkunft aus B._______ spreche. Seine gesprochene Mundart enthalte überwiegend Elemente, wie sie in Suleymania gesprochen werde. Sodann könne der Beschwerdeführer weder die Lage seines Wohnquartiers innerhalb der Stadt B._______ situieren, noch kenne er Strassen oder Hotels der Stadt. Auch diesbezüglich beschränkt sich der Beschwerdeführer in der Rechtsmitteleingabe auf das Festhalten an seiner behaupteten Herkunft, womit er der eindeutigen Feststellungen der Vorinstanz nichts Wesentliches entgegenzuhalten vermag. Schliesslich äussert er sich auch nicht zu den in der angefochtenen Verfügung aufgezeigten Unstimmigkeiten in seinen Aussagen. Insgesamt bringt er somit nichts vor, das geeignet wäre, die Flüchtlingseigenschaft nachzuweisen oder glaubhaft zu machen. An diesem Schluss vermögen auch die auf Beschwerdeebene eingereichte Identitätskarte der Mutter sowie die Bestätigung des Todes des Vaters des Beschwerdeführers nichts zu ändern. Das Asylgesuch wurde zu Recht abgelehnt und die Identitätskarte sowie den Nationalitätenausweis als Fälschungen eingezogen.</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7.2</w:t>
      </w:r>
    </w:p>
    <w:p>
      <w:r>
        <w:t>Das Bundesverwaltungsgericht geht aufgrund des klaren Ergebnisses des LINGUA-Gutachtens davon aus, dass der Beschwerdeführer aus Sulyamaniya stammt. In BVGE 2008/5 hat sich das Gericht ausführlich zur Lage in den drei kurdischen Provinzen Dohuk, Erbil und Sulaymaniya geäussert und festgehalten, dass dort keine Situation allgemeiner Gewalt herrscht und die dortige politische Lage nicht dermassen angespannt ist, dass eine Rückführung dorthin generell als unzumutbar betrachtet werden müsste. Namentlich hat es auch festgestellt,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Demgegenüber ist für alleinstehende Frauen und für Familien mit Kindern sowie für Kranke und Betagte bei der Feststellung der Zumutbarkeit des Wegweisungsvollzugs grosse Zurückhaltung angebracht. Seit der Publikation dieses Urteils hat sich die Sicherheitssituation in den drei kurdischen Provinzen nicht wesentlich verändert. Den Akten sind keine Hinweise zu entnehmen, wonach der Wegweisungsvollzug aus einem in der Person des Beschwerdeführers liegenden Grund nicht zumutbar wäre. Der Beschwerdeführer ist volljährig, alleinstehend und soweit aktenkundig gesund. Er hat offensichtlich versucht, die Asylbehörden über seine wahre Identität beziehungsweise Herkunft zu täuschen. Indes hat er sich während des Asylverfahrens Beweismittel aus dem Irak zustellen lassen, namentlich auch die angebliche Identitätskarte seiner Mutter. Es ist daher davon auszugehen, dass er in seinem Heimatland über ein soziales, insbesondere auch familiäres Beziehungsnetz verfügt, welches ihm bei der Reintegration behilflich sein kann. Es liegen somit keine Anhaltspunkte vor, die auf eine konkrete Gefährdung des Beschwerdeführers im Irak schliessen lassen. Damit ist der Vollzug der Wegweisung als zumutbar zu erachten.</w:t>
      </w:r>
    </w:p>
    <w:p>
      <w:r>
        <w:rPr>
          <w:b/>
        </w:rPr>
        <w:t>E. 7.3</w:t>
      </w:r>
    </w:p>
    <w:p>
      <w:r>
        <w:t>Es obliegt dem Beschwerdeführer sich bei der zuständigen Vertretung seines Heimatlandes die für eine Rückkehr notwendigen Reisedokumente zu beschaffen (Art. 8 Abs. 4 AsylG; BVGE 2008/34 E. 12), weshalb der Vollzug der Wegweisung möglich ist.</w:t>
      </w:r>
    </w:p>
    <w:p>
      <w:r>
        <w:rPr>
          <w:b/>
        </w:rPr>
        <w:t>E. 7.4</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Mit dem vorliegenden Urteil ist das Gesuch um Verzicht auf die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