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E-5594/2022 vom 11. Januar 2023</w:t>
      </w:r>
    </w:p>
    <w:p>
      <w:r>
        <w:t>Bundesverwaltungsgericht, 2023-01-11, DE</w:t>
      </w:r>
    </w:p>
    <w:p>
      <w:r>
        <w:rPr>
          <w:b/>
        </w:rPr>
        <w:t xml:space="preserve">Quelle: </w:t>
      </w:r>
      <w:r>
        <w:t>https://mcp.opencaselaw.ch/entscheid/bvger_E-5594_2022</w:t>
      </w:r>
    </w:p>
    <w:p>
      <w:r>
        <w:t>FR: TAF E-5594/2022 du 11 janvier 2023</w:t>
      </w:r>
    </w:p>
    <w:p>
      <w:r>
        <w:t>IT: TAF E-5594/2022 del 11 gennaio 2023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750.– werden dem Beschwerdeführer aufer- legt. Der in gleicher Höhe geleistete Kostenvorschuss wird zum Begleichen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</w:t>
      </w:r>
    </w:p>
    <w:p>
      <w:r>
        <w:t>Der Einzelrichter: Der Gerichtsschreiber:</w:t>
      </w:r>
    </w:p>
    <w:p>
      <w:r>
        <w:t>Markus König Nicholas Swain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