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E-558/2023 vom 6. Juni 2023</w:t>
      </w:r>
    </w:p>
    <w:p>
      <w:r>
        <w:t>Bundesverwaltungsgericht, 2023-06-06, FR</w:t>
      </w:r>
    </w:p>
    <w:p>
      <w:r>
        <w:rPr>
          <w:b/>
        </w:rPr>
        <w:t xml:space="preserve">Quelle: </w:t>
      </w:r>
      <w:r>
        <w:t>https://mcp.opencaselaw.ch/entscheid/bvger_E-558_2023</w:t>
      </w:r>
    </w:p>
    <w:p>
      <w:r>
        <w:t>FR: TAF E-558/2023 du 6 juin 2023</w:t>
      </w:r>
    </w:p>
    <w:p>
      <w:r>
        <w:t>IT: TAF E-558/2023 del 6 giugno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L'intéressée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la recourante, ceux-ci étant susceptibles d'entraîner l'annulation des décisions querellées indépendamment des chances de succès du recours sur le fond (cf. ATF 144 I 11 consid. 5.3, et la jurisprudence citée ; ATAF 2019 VII/6 consid. 4.1, 2013/34 consid. 4.2, 2013/23 consid. 6.1.3, 2010/35 consid. 4.1.1, et la jurisprudence citée).</w:t>
      </w:r>
    </w:p>
    <w:p>
      <w:r>
        <w:rPr>
          <w:b/>
        </w:rPr>
        <w:t>E. 2.1</w:t>
      </w:r>
    </w:p>
    <w:p>
      <w:r>
        <w:t>La recourante fait préliminairement valoir que le SEM aurait insuffisamment instruit la question de son état de santé, notamment psychique.</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2.4</w:t>
      </w:r>
    </w:p>
    <w:p>
      <w:r>
        <w:t>En l'occurrence, au moment où l'autorité intimée a statué, elle disposait des déclarations de l'intéressée relatives à son état de santé (cf. supra, let. B) ainsi que de documents médicaux, dont il ressort notamment ce qui suit : - la recourante a beaucoup pleuré, car elle était triste d'avoir quitté son pays en laissant sa famille derrière elle ; elle était très anxieuse et déprimée mais ne désirait pas de traitement pour le moment, hormis une consultation psychologique « pour ne pas sombrer » ; un rendez-vous devait être pris (cf. journal de soins du 5 octobre 2022) ; - à l'occasion d'un entretien de soutien psychologique, l'intéressée a fait état de persécutions, de plusieurs traumatismes et de violences sexuelles (viol) survenus au Burundi, d'un trajet migratoire difficile, d'anxiété, de ruminations, de troubles du sommeil et d'une grande détresse psychique, sans idée suicidaire ; elle a vu un médecin à la suite du viol qu'elle a subi et pris un traitement prophylactique contre le VIH ; un état de stress post-traumatique a été diagnostiqué ; des médicaments lui ont été prescrits (Atarax [sédatif], Temesta [anxiolytique] et Imovane [hypnotique]) ; le recours à un spécialiste n'a pas été jugé nécessaire ; un nouveau rendez-vous a été agendé au 1er novembre 2022 (cf. journal de soins du 13 octobre 2022 et rapport médical du 17 octobre 2022) ; - lors d'un entretien de soutien ultérieur, l'intéressée a fait état de cauchemars, insomnies et pleurs fréquents ; le diagnostic d'état de stress post-traumatique a été confirmé ; de l'Atarax lui a été prescrit ; le recours à un spécialiste n'a pas été jugé nécessaire ; un nouveau rendez-vous a été agendé au 14 novembre 2022 (cf. rapport médical du 1er novembre 2022) ; - alléguant avoir subi des mutilations et violences sexuelles ainsi que des viols dans son pays d'origine, la recourante a subi un contrôle gynécologique avec dépistage du cancer du col de l'utérus et des maladies sexuellement transmissibles (cf. rapport médical du 18 novembre 2022) ; - se plaignant toujours d'anxiété, d'insomnies, de cauchemars fréquents, d'un état de stress post-traumatique, de mutilations et de violences sexuelles ainsi que de viols au Burundi, l'intéressée a sollicité un suivi psychologique ; dans ce cadre, le diagnostic de stress post-traumatique, avec insomnies récidivantes, a encore été confirmé ; la recourante n'a pas fait état d'idées suicidaires ; la poursuite du traitement a été préconisée, l'intéressée devant être convoquée pour une consultation en suivi psychiatrique et revenir en cas de péjoration des symptômes ou d'apparition d'idées suicidaires (cf. rapports médicaux du 22 novembre 2022). Nanti de ces informations, le SEM a notamment retenu que les affections présentées par la recourante n'étaient pas suffisamment graves ou particulières, notamment quant aux soins nécessaires, pour s'opposer à un retour en Croatie, où elle aurait en outre accès aux soins médicaux. L'autorité intimée a notamment relevé qu'aucune intervention urgente ne paraissait nécessaire.</w:t>
      </w:r>
    </w:p>
    <w:p>
      <w:r>
        <w:rPr>
          <w:b/>
        </w:rPr>
        <w:t>E. 2.5</w:t>
      </w:r>
    </w:p>
    <w:p>
      <w:r>
        <w:t>Force est ainsi d'admettre que le SEM a pris en compte les éléments médicaux figurant alors au dossier, lesquels ne laissaient apparaître selon lui aucun indice de troubles susceptibles de faire obstacle au transfert de l'intéressée. On ne saurait en particulier reprocher à l'autorité intimée de ne pas avoir investigué plus avant son état psychique, des diagnostics ayant été posés et des traitements prescrits. Le SEM n'a par conséquent pas violé son devoir d'instruction d'office s'agissant de l'état de santé de la recourante. La question de la licéité et de l'exigibilité de l'exécution du transfert en lien avec l'état de santé de l'intéressée sera abordée plus loin (cf. infra, consid. 7.5).</w:t>
      </w:r>
    </w:p>
    <w:p>
      <w:r>
        <w:rPr>
          <w:b/>
        </w:rPr>
        <w:t>E. 2.6</w:t>
      </w:r>
    </w:p>
    <w:p>
      <w:r>
        <w:t>La recourante fait en outre grief à l'autorité intimée d'avoir violé son droit d'être entendue en rendant une décision à la motivation lacunaire, se limitant à écarter les violences alléguées au motif qu'elle ne serait pas étayées, sans tenir compte de leur vraisemblance et des rapports médicaux produits. Ses déclarations coïncideraient également avec de nombreux témoignages et rapports relatifs aux violences subies par les requérants d'asile à la frontière croate.</w:t>
      </w:r>
    </w:p>
    <w:p>
      <w:r>
        <w:rPr>
          <w:b/>
        </w:rPr>
        <w:t>E. 2.7</w:t>
      </w:r>
    </w:p>
    <w:p>
      <w:r>
        <w:t>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2.8</w:t>
      </w:r>
    </w:p>
    <w:p>
      <w:r>
        <w:t>En l'espèce, force est de constater que l'intéressée a manifestement compris la motivation de la décision querellée et, au vu de l'argumentation développée dans son mémoire, a pu exercer son droit de recours à bon escient. Elle fait en réalité valoir des arguments sur le fond, qui seront examinés plus loin.</w:t>
      </w:r>
    </w:p>
    <w:p>
      <w:r>
        <w:rPr>
          <w:b/>
        </w:rPr>
        <w:t>E. 2.9</w:t>
      </w:r>
    </w:p>
    <w:p>
      <w:r>
        <w:t>Dans ces conditions, les griefs d'ordre formel invoqués par l'intéressée sont infondés et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4.5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déjà relevé, les investigations entreprises par le SEM ont révélé, après consultation de l'unité centrale du système européen « Eurodac », que la recourante a franchi illégalement la frontière du territoire des Etats Dublin en Croatie et que ses empreintes digitales y ont été enregistrées le 29 septembre 2022. Les déclarations de l'intéressée selon lesquelles ses empreintes digitales auraient été relevées sans son consentement ne sont pas déterminantes. Quoi qu'il en soit, en effet, il ne peut être, sur le principe, reproché aux autorités croates d'avoir enregistré la recourante à son passage dans le pays. En procédant à ces relevés au moment de l'interpellation de l'intéressée et à leur transmission au système central Eurodac, les autorités croates se sont conformées à leur obligation découlant de l'art. 9 par. 1 et de l'art. 14 par. 1 du règlement Eurodac. Pour le reste, rien n'indique que la recourante, aux fins du relevé de ses empreintes digitales, aurait subi de la part de la police croate des moyens de contrainte contraires à l'art. 3 CEDH ou aux art. 3 et 6 de la Convention du 10 décembre 1984 contre la torture et autres peines ou traitements cruels, inhumains ou dégradants (CCT, RS 0.105 ; cf. consid. 7.4 ci-dessous).</w:t>
      </w:r>
    </w:p>
    <w:p>
      <w:r>
        <w:rPr>
          <w:b/>
        </w:rPr>
        <w:t>E. 5.2</w:t>
      </w:r>
    </w:p>
    <w:p>
      <w:r>
        <w:t>Le 3 novembre 2022, l'autorité intimée a dès lors soumis aux autorités croates compétentes, dans les délais fixés à l'art. 21 par. 1 RD III, une requête aux fins de prise en charge, fondée sur l'art. 13 par. 1 de ce même règlement.</w:t>
      </w:r>
    </w:p>
    <w:p>
      <w:r>
        <w:rPr>
          <w:b/>
        </w:rPr>
        <w:t>E. 5.3</w:t>
      </w:r>
    </w:p>
    <w:p>
      <w:r>
        <w:t>Par communication du 3 janvier 2023, soit dans le délai fixé par l'art. 22 par. 1 RD III, lesdites autorités ont expressément accepté de prendre en charge l'intéressée, sur la base de l'art. 13 par. 1 RD III.</w:t>
      </w:r>
    </w:p>
    <w:p>
      <w:r>
        <w:rPr>
          <w:b/>
        </w:rPr>
        <w:t>E. 5.4</w:t>
      </w:r>
    </w:p>
    <w:p>
      <w:r>
        <w:t>La compétence de la Croatie pour le traitement de la demande d'asile de la recourante est donc donnée, au regard des critères de détermination de l'Etat membre responsable (art. 7 ss RD III). Ce point n'est d'ailleurs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TAF F-3061/2021 du 9 juillet 2021 consid. 5.2 et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 (cf. ibidem consid. 9.5).</w:t>
      </w:r>
    </w:p>
    <w:p>
      <w:r>
        <w:rPr>
          <w:b/>
        </w:rPr>
        <w:t>E. 6.5</w:t>
      </w:r>
    </w:p>
    <w:p>
      <w:r>
        <w:t>Par conséquent, l'application de l'art. 3 par. 2 du règlement Dublin III ne se justifie pas en l'espèce. Le « dossier de presse » ainsi que les rapports d'ONG mentionnés dans le recours ne suffisent pas à modifier cette conclusion. La recourante ne peut notamment tirer argument du rapport de l'Organisation Suisse d'Aide aux Réfugiés (OSAR) du 13 septembre 2022 intitulé « Violences policières en Bulgarie et en Croatie : conséquences pour les transferts Dublin » (cf. mémoire de recours, p. 12), dans la mesure notamment où la Croatie a expressément accepté de la reprendre en charge sur son territoire. Elle ne peut davantage tirer argument de l'arrêt de référence E-3078/2019 du 12 juillet 2019 qui n'a pas considéré que le système mis en place par la Croatie présentait des défaillances systémiques ; l'arrêt de coordination E-1488/2020 précité ne l'a d'ailleurs en définitive pas retenu. Par ailleurs, les décisions rendues par des autorités judiciaires allemandes et néerlandaise, également cités dans le recours, ne lient pas le Tribunal.</w:t>
      </w:r>
    </w:p>
    <w:p>
      <w:r>
        <w:rPr>
          <w:b/>
        </w:rPr>
        <w:t>E. 7.1</w:t>
      </w:r>
    </w:p>
    <w:p>
      <w:r>
        <w:t>La recourante s'oppose néanmoins à son transfert vers la Croatie, déclarant, comme relevé, avoir subi des mauvais traitements de la part de la police croate. En outre, elle a émis de sérieux doutes quant à l'accès dans ce pays à une procédure d'asile équitable et respectueuse de ses droits fondamentaux. Atteinte dans sa santé psychique, elle devrait être considérée comme vulnérable en cas de transfert, alors que la Croatie ne garantit selon elle pas son droit de réadaptation, en l'absence d'un système pouvant l'identifier en tant que victime de torture. A cet égard, elle invoque une violation de l'art. 17 par. 1 du règlement Dublin III en lien avec les art. 3 et 13 CEDH, 3 et 14 CCT, ainsi que 29a al. 3 OA 1. Elle invoque encore une violation de l'art. 2 de la Convention du 18 décembre 1979 sur l'élimination de toutes les formes de discrimination à l'égard des femmes (CEDEF, RS 0.108).</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7.3</w:t>
      </w:r>
    </w:p>
    <w:p>
      <w:r>
        <w:t>La recourante n'a pas démontré que sa demande de protection, une fois déposée,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la recourante n'a fourni aucun élément susceptible de démontrer que, dans le cadre de l'examen de sa demande d'asile, la Croatie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7.4</w:t>
      </w:r>
    </w:p>
    <w:p>
      <w:r>
        <w:t>L'intéressée n'a pas non plus apporté d'indices selon lesquels elle serait privée durablement, en Croatie, après avoir déposé sa demande d'asile, des conditions matérielles prévues par la directive Accueil et qu'elle ne pourrait au besoin y faire valoir ses droits. Elle n'a en particulier pas démontré que ses conditions d'existence dans ce pays revêtiraient un tel degré de pénibilité et de gravité, pour un requérant d'asile, qu'elles seraient constitutives d'un traitement contraire à l'art. 3 CEDH ou encore à l'art. 3 CCT (cf. arrêt du TAF F-1125/2021 du 19 mars 2021 consid. 4.5). Sur le fond, les seules déclarations de la recourante lors de son audition Dublin ne suffisent pas, quoi qu'elle en dise, à établir qu'elle a subi de la part de la police croate des traitements contraires à l'art. 3 CEDH ou à l'art. 3 CCT, ou qu'elle ait été victime de comportements racistes. Ses déclarations sur ce point sont restées relativement générales et sommaires et ne sont dans ce sens en rien étayées. Dans son recours, l'intéressée n'amène pas d'éléments de fait supplémentaires nouveaux remettant en cause l'appréciation du SEM, se limitant essentiellement à reprendre ses allégations précédentes, sans les concrétiser. L'état de stress post-traumatique présenté par l'intéressée ne suffit pas à attester les mauvais traitements qu'elle aurait subis en Croatie, dès lors qu'il ne peut être exclu que ce trouble ait une origine différente, ce qui apparaît même fortement être le cas. A cet égard, il est rappelé que la recourante a rapporté avoir été persécutée et avoir subi des violences sexuelles dans son pays d'origine et non en Croatie. Les documents médicaux font sur ce dernier point uniquement référence à un parcours migratoire « difficile » ou « compliqué ». Dans ce contexte, l'affirmation de l'intéressé selon laquelle son vécu en Croatie serait « presque semblable » à celui au Burundi apparaît, elle, clairement exagérée. Dans ces circonstances, même s'il ne peut être exclu qu'elle ait été traitée avec hostilité, les témoignages similaires d'autres migrants quant aux mauvais traitements qu'ils auraient subis en Croatie ne sont pas non plus déterminants. Par ailleurs, l'ordre de quitter la Croatie qui aurait été remis à la recourante s'explique par le fait qu'elle n'a pas déposé de demande d'asile lors de son passage dans ce pays. Enfin et surtout, les allégations de l'intéressée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qu'elle dit avoir connue après son interpellation, en tant que personne étrangère en situation irrégulière. Cela dit, si la recourante devait,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 Les rapports cités dans le recours ne sont pas de nature à modifier l'appréciation du Tribunal selon laquelle l'intéressée, contrairement à ce qu'elle soutient, aura accès en Croatie à un recours effectif au sens de l'art. 13 CEDH.</w:t>
      </w:r>
    </w:p>
    <w:p>
      <w:r>
        <w:rPr>
          <w:b/>
        </w:rPr>
        <w:t>E. 7.5.1</w:t>
      </w:r>
    </w:p>
    <w:p>
      <w:r>
        <w:t>Compte tenu de la jurisprudence restrictive en la matière, il y a lieu de considérer, à l'instar du SEM, que les problèmes de santé évoqués par la recourante ne sont pas d'une gravité telle qu'il se justifierait de renoncer à son transfert vers la Croatie (cf., à ce sujet, arrêt Paposhvili c. Belgique du 13 décembre 2016, requête no 41738/10). En effet, force est de constater que le dossier ne permet pas de retenir l'existence de maladies d'une gravité, d'une urgence ou d'une spécificité telles qu'elles ne pourraient pas être traitées en Croatie (sur les possibilités de prise en charge médicale dans le domaine de l'asile en Croatie, cf. arrêts du TAF D-1418/2022 du 4 avril 2022 consid. 5.3.6 et D-1241/2022 du 25 mars 2022 p. 7). En tout état de cause, on rappellera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7.5.2</w:t>
      </w:r>
    </w:p>
    <w:p>
      <w:r>
        <w:t>Comme relevé, l'intéressée n'a pas fait état d'idées suicidaires. Cela dit, même si elle devait en manifester avant son transfert, il est encore rappelé que, selon la pratique du Tribunal, de telles tendances, ne constituent pas, en soi, un obstacle à l'exécution de cette mesure, seule une mise en danger présentant des formes concrètes, lesquelles font défaut en l'état, devant être prise en considération. Si des menaces auto-agressives devaient apparaître au moment de l'organisation du départ de Suisse, il appartiendrait aux autorités chargées de l'exécution du transfert de prévoir des mesures concrètes pour en prévenir la réalisation. Il appartiendra également, le cas échéant, aux thérapeutes de la recourante de la préparer à la perspective de son transfert (cf. aussi consid. 7.5.4 ci-dessous) A cet égard, il sied de souligner qu'une péjoration de la santé psychique - si elle devait se manifester chez la recourante suite au présent arrêt - est fréquemment observée chez les personnes faisant l'objet de décisions négatives en matière d'asile, sans pour autant faire obstacle à l'exécution du renvoi ou du transfert. Il est en outre rappelé que les mauvais traitements subis en Croatie - en tous les cas de l'ampleur que tentent de lui donner l'intéressée - n'ont pas été rendus crédibles, et qu'en tout état de cause, la recourante, qui sera transférés à Zagreb, ne se retrouvera pas confrontés à la situation qui a pu être la sienne par dans les zones frontalières (cf. consid. 7.4 ci-dessus). Enfin, comme déjà dit (cf. ibidem), il n'existe aucun indice concret d'un risque de retraumatisation de la recourante en cas de transfert en Croatie.</w:t>
      </w:r>
    </w:p>
    <w:p>
      <w:r>
        <w:rPr>
          <w:b/>
        </w:rPr>
        <w:t>E. 7.5.3</w:t>
      </w:r>
    </w:p>
    <w:p>
      <w:r>
        <w:t>Dès lors, il y a lieu de retenir que l'état de santé de la recourante ne saurait faire obstacle à l'exécution de son transfert vers la Croatie.</w:t>
      </w:r>
    </w:p>
    <w:p>
      <w:r>
        <w:rPr>
          <w:b/>
        </w:rPr>
        <w:t>E. 7.5.4</w:t>
      </w:r>
    </w:p>
    <w:p>
      <w:r>
        <w:t>Cela dit, il incombera aux autorités suisses chargées de l'exécution du transfert de transmettre à leurs homologues croates, en temps utile, les renseignements permettant une prise en charge médicale adéquate de la recourante (cf. art. 31 et 32 du règlement Dublin III).</w:t>
      </w:r>
    </w:p>
    <w:p>
      <w:r>
        <w:rPr>
          <w:b/>
        </w:rPr>
        <w:t>E. 7.6</w:t>
      </w:r>
    </w:p>
    <w:p>
      <w:r>
        <w:t>Si certaines dispositions de la CEDEF sont considérées en doctrine comme directement applicables (cf. ATF 137 I 305 consid. 3.2 p. 318 et les références citées), tel n'est pas le cas de son art. 2, qui constitue une norme programmatique à l'attention du législateur national. L'intéressée ne saurait donc s'en prévaloir pour s'opposer à son transfert vers la Croatie. Cela dit, elle n'a en rien démontré que son transfert l'exposerait à des formes graves de discrimination ou de violence en raison de sa qualité de femme.</w:t>
      </w:r>
    </w:p>
    <w:p>
      <w:r>
        <w:rPr>
          <w:b/>
        </w:rPr>
        <w:t>E. 7.7</w:t>
      </w:r>
    </w:p>
    <w:p>
      <w:r>
        <w:t>Enfin, c'est en vain que la recourante invoque une violation de l'art. 14 CCT, disposition concernant le droit des victimes d'actes de torture à obtenir réparation, laquelle ne trouve pas à s'appliquer en l'espèce (cf. arrêts du Tribunal E-265/2023 du 18 avril 2023 consid. 8.5 ; E-1695/2023 du 13 avril 2023 consid. 7.3).</w:t>
      </w:r>
    </w:p>
    <w:p>
      <w:r>
        <w:rPr>
          <w:b/>
        </w:rPr>
        <w:t>E. 7.8</w:t>
      </w:r>
    </w:p>
    <w:p>
      <w:r>
        <w:t>Par conséquent, le transfert de l'intéressée vers la Croatie n'est pas contraire aux obligations découlant de dispositions conventionnelles auxquelles la Suisse est liée.</w:t>
      </w:r>
    </w:p>
    <w:p>
      <w:r>
        <w:rPr>
          <w:b/>
        </w:rPr>
        <w:t>E. 7.9</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7.10</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l'intéressée, en application de l'art. 31a al. 1 let. b LAsi, et a prononcé son transfert de Suisse vers la Croatie. Par conséquent, le recours doit être rejeté.</w:t>
      </w:r>
    </w:p>
    <w:p>
      <w:r>
        <w:rPr>
          <w:b/>
        </w:rPr>
        <w:t>E. 9</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Cela dit, les conclusions du recours n'étaient pas d'emblée vouées à l'échec et la recourante peut être tenue pour indigente, de sorte que la requête d'assistance judiciaire partielle est admise (art. 65 al. 1 PA). Il est donc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