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E-5582/2023 vom 18. Oktober 2023</w:t>
      </w:r>
    </w:p>
    <w:p>
      <w:r>
        <w:t>Bundesverwaltungsgericht, 2023-10-18, DE</w:t>
      </w:r>
    </w:p>
    <w:p>
      <w:r>
        <w:rPr>
          <w:b/>
        </w:rPr>
        <w:t xml:space="preserve">Quelle: </w:t>
      </w:r>
      <w:r>
        <w:t>https://mcp.opencaselaw.ch/entscheid/bvger_E-5582_2023</w:t>
      </w:r>
    </w:p>
    <w:p>
      <w:r>
        <w:t>FR: TAF E-5582/2023 du 18 octobre 2023</w:t>
      </w:r>
    </w:p>
    <w:p>
      <w:r>
        <w:t>IT: TAF E-5582/2023 del 18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Nach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Gemäss Auszug aus der «Eurodac»-Datenbank hatte der Beschwerdeführer am (...) September 2023 in Kroatien ein Asylgesuch gestellt.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erachten mit der Folge, dass dieses nach einer Rücküberstellung des Beschwerdeführers fortgesetzt wird. Seinem Einwand,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Zusammenfassend ist die Zuständigkeit Kroatiens gegeben.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4.2</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 Insbesondere ist auf die zitierten Berichte namentlich zu Push-Backs an der kroatischen Grenze oder zur Verweigerung des Zugangs zum Asylverfahren nicht näher einzugehen.</w:t>
      </w:r>
    </w:p>
    <w:p>
      <w:r>
        <w:rPr>
          <w:b/>
        </w:rPr>
        <w:t>E. 4.3</w:t>
      </w:r>
    </w:p>
    <w:p>
      <w:r>
        <w:t>Gemäss der zitierten Rechtsprechung sind systemische Schwachstellen im Sinne von Art. 3 Abs. 2 zweiter und dritter Satz Dublin-III-VO in Bezug auf Kroatien zu verneinen.</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Der Beschwerdeführer macht geltend, er sei von kroatischen Polizisten körperlich misshandelt worden und leide noch heute unter den Folgen. Er habe seitdem Knieprobleme und könne nicht mehr ohne Beschwerden laufen.</w:t>
      </w:r>
    </w:p>
    <w:p>
      <w:r>
        <w:rPr>
          <w:b/>
        </w:rPr>
        <w:t>E. 5.3</w:t>
      </w:r>
    </w:p>
    <w:p>
      <w:r>
        <w:t>Das Bundesverwaltungsgericht erkennt zwar an, dass das Verhalten der kroatischen Grenzbehörden und die Behandlung von Asylsuchenden im Rahmen der Erstaufnahme bis zur Gesuchstellung in Kroatien problematisch sein kann. Es besteht kein Anlass, an der vom Beschwerdeführer geschilderten Behandlung durch die Polizei während und nach dem Grenzübertritt nach Kroatien zu zweifeln, wenn auch der behauptete Zusammenhang zwischen den Übergriffen und seinen Kniebeschwerden nicht erwiesen ist. Insbesondere wurden keine Arztberichte eingereicht, welche seine Beschwerden oder einen solchen Zusammenhang belegen würden. So bedauerlich seine Erlebnisse auch gewesen sein mögen, lässt sich daraus nicht ableiten, dass er im Rahmen einer gestützt auf die Dublin-III-VO erfolgenden Rückführung nach Kroatien erneut mit Misshandlungen und Gewalt zu rechnen hat oder die dort zu erwartenden Bedingungen derart schlecht sind, dass sie zu einer Verletzung von Art. 4 der EU-Grundrechtcharta, Art. 3 EMRK oder Art. 3 FoK führen könnten. Das Bundesverwaltungsgericht geht davon aus, dass sich der Beschwerdeführer nach der Dublin-Rücküberstellung in einer anderen Situation als bei seiner ersten Einreise nach Kroatien befinden wird (vgl. Referenzurteil E-1488/2020 E. 9.4. sowie u.a. Urteil des BVGer D-3332/2023 vom 22. Juni 2023 E. 7.2 m.w.H.).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Aufnahmerichtlinie). Dies gilt auch in Bezug auf ein allfälliges Fehlverhalten der kroatischen Polizei. Des Weiteren steht ihm die Möglichkeit offen, die vor Ort tätigen karitativen Organisationen zu kontaktieren.</w:t>
      </w:r>
    </w:p>
    <w:p>
      <w:r>
        <w:rPr>
          <w:b/>
        </w:rPr>
        <w:t>E. 5.4</w:t>
      </w:r>
    </w:p>
    <w:p>
      <w:r>
        <w:t>Die geltend gemachten Kniebeschwerden sind nicht derart gravierend, dass mit Blick auf Art. 3 EMRK von einer Überstellung nach Kroatien abgesehen werden müsste (vgl. dazu Urteil des EGMR Paposhvili gegen Belgien vom 13. Dezember 2016, Grosse Kammer, 41738/10, §§ 180-193 m.w.H.). Sollte der Beschwerdeführer nach der Rückkehr nach Kroatien eine medizinische Behandlung benötigen, ist darauf hinzuweisen, dass Kroatien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5.5</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5.6</w:t>
      </w:r>
    </w:p>
    <w:p>
      <w:r>
        <w:t>Von einer Rückweisung der Sache zur Neubeurteilung ist abzusehen, zumal der Beschwerdeführer seinen Rückweisungsantrag nicht begründet hat. Im Übrigen ergeben sich auch aus den Akten keinerlei Hinweise auf Verfahrensfehler. Nach dem Gesagten besteht kein Anlass für die Rückweisung der Sache an die Vorinstanz. Das Eventualbegehren ist abzuweisen.</w:t>
      </w:r>
    </w:p>
    <w:p>
      <w:r>
        <w:rPr>
          <w:b/>
        </w:rPr>
        <w:t>E. 6</w:t>
      </w:r>
    </w:p>
    <w:p>
      <w:r>
        <w:t>Die Vorinstanz ist zu Recht gestützt auf Art. 31a Abs. 1 Bst. b AsylG auf das Asylgesuch des Beschwerdeführers nicht eingetreten und hat die Wegweisung nach Kroatien angeordnet.</w:t>
      </w:r>
    </w:p>
    <w:p>
      <w:r>
        <w:rPr>
          <w:b/>
        </w:rPr>
        <w:t>E. 7</w:t>
      </w:r>
    </w:p>
    <w:p>
      <w:r>
        <w:t>Die Beschwerde ist abzuweisen.</w:t>
      </w:r>
    </w:p>
    <w:p>
      <w:r>
        <w:rPr>
          <w:b/>
        </w:rPr>
        <w:t>E. 8</w:t>
      </w:r>
    </w:p>
    <w:p>
      <w:r>
        <w:t>Mit dem Entscheid in der Hauptsache sind die Gesuche um Erteilung der aufschiebenden Wirkung der Beschwerde und um Verzicht auf die Erhebung eines Kostenvorschusses gegenstandslos geworden. Der am 13. Oktober 2023 verfügte einstweilige Vollzugsstopp fällt mit dem vorliegenden Urteil dahin.</w:t>
      </w:r>
    </w:p>
    <w:p>
      <w:r>
        <w:rPr>
          <w:b/>
        </w:rPr>
        <w:t>E. 9</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