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E-5581/2023 vom 18. Oktober 2023</w:t>
      </w:r>
    </w:p>
    <w:p>
      <w:r>
        <w:t>Bundesverwaltungsgericht, 2023-10-18, DE</w:t>
      </w:r>
    </w:p>
    <w:p>
      <w:r>
        <w:rPr>
          <w:b/>
        </w:rPr>
        <w:t xml:space="preserve">Quelle: </w:t>
      </w:r>
      <w:r>
        <w:t>https://mcp.opencaselaw.ch/entscheid/bvger_E-5581_2023</w:t>
      </w:r>
    </w:p>
    <w:p>
      <w:r>
        <w:t>FR: TAF E-5581/2023 du 18 octobre 2023</w:t>
      </w:r>
    </w:p>
    <w:p>
      <w:r>
        <w:t>IT: TAF E-5581/2023 del 18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Der Beschwerdeführer beantragt, die angefochtene Verfügung sei vollständig aufzuheben, auf das Asylgesuch sei einzutreten und das Asylverfahren in der Schweiz durchzuführen. Weder aus dem Rechtsbegehren noch der Beschwerdebegründung ergibt sich, dass der Beschwerdeführer die Änderung seines Geburtsdatums im ZEMIS in Frage stellt. Die Dispositivziffer 6 der angefochtenen Verfügung bildet demnach nicht Streitgegenstand des vorliegenden Verfahrens. Gegenstand bildet einzig die Frage, ob die Vorinstanz zu Recht nicht auf das Asylgesuch des Beschwerdeführers eingetreten ist und die Überstellung nach Kroatien verfügt hat.</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Wiederaufnahmeverfahrens (take back), wie das vorliegende eines ist, findet grundsätzlich keine erneute Zuständigkeitsprüfung nach Kapitel III Dublin-III-VO statt (vgl. zum Ganzen BVGE 2017 VI/5 E. 6.2 und 8.2.1 m.w.H.). Die kroatischen Behörden haben ihre Zustimmung zur Wiederaufnahme des Beschwerdeführers gegeben und damit ihre grundsätzliche Zuständigkeit anerkannt, woran nichts ändert, dass diese gestützt auf Art. 20 Abs. 5 Dublin-III-VO erfolgt ist (vgl. Urteil F-1157/2023 vom 7. März 2023 E. 6.1 m.w.H.). Die Zuständigkeit Kroatiens wird vom Beschwerdeführer denn auch nicht bestritten.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Referenzurteil E-1488/2020 vom 22. März 2023 hat sich das Bundesverwaltungsgericht einlässlich mit der Situation von Dublin-Rückkehrern in Kroatien befasst. Dabei hat es festgehalten, dass keine Hinweise für die Annahme vorliegen, dass das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auf Beschwerdeebene vom Beschwerdeführer zitierten Berichte sowie der von ihm geschilderten Erlebnisse mit den kroatischen Behörden ist nicht davon auszugehen, Kroatien verstosse zum heutigen Zeitpunkt systematisch gegen seine vertraglichen Verpflichtungen als zuständiger Dublin-Mitgliedstaat im Falle einer Rücküberstellung von Asylsuchenden.</w:t>
      </w:r>
    </w:p>
    <w:p>
      <w:r>
        <w:rPr>
          <w:b/>
        </w:rPr>
        <w:t>E. 6.4</w:t>
      </w:r>
    </w:p>
    <w:p>
      <w:r>
        <w:t>Nach dem Gesagten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Das Bundesverwaltungsgericht geht davon aus, dass sich Asylsuchende nach der Dublin-Rücküberstellung in einer anderen Situation als bei der ersten Einreise nach Kroatien befinden (vgl. Referenzurteil E-1488/2020 E. 9.4 m.w.H.). Daran vermögen auch die auf Beschwerdeebene zitierten Berichte - welche den dem Referenzurteil E-1488/2020 zugrundeliegenden Informationen zur Situation in Kroatien keine neuen Erkenntnisse hinzuzufügen vermögen - nichts zu ändern. Kroatien ist ein Rechtsstaat mit einem funktionierenden Justizsystem. Den Akten sind denn auch keine Gründe für die Annahme zu entnehmen, Kroatien werde in seinem Fall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Antragstellenden die erforderliche medizinische Versorgung, die zumindest die Notversorgung und die unbedingt erforderliche Behandlung von Krankheiten und schweren psychischen Störungen umfasst, zugänglich zu machen (Art. 19 Abs. 1 Aufnahmerichtlinie). In ständiger Rechtsprechung geht das Bundesverwaltungsgericht davon aus, dass Kroatien über eine ausreichende medizinische Infrastruktur verfügt (Referenzurteil E-1488/2020 E. 10.2 f., Urteile des BVGer D-5528/2021 vom 13. April 2023 E. 9.2.1.3, E-474/2023 vom 16. Mai 2023 E. 6.2.4), mithin der Beschwerdeführer seine gesundheitlichen Probleme ([...] und [...]) dort behandeln lassen kann. Schliesslich sind die genannten gesundheitlichen Beeinträchtigungen des Beschwerdeführers nicht derart gravierend, dass in Anwendung von Art. 3 EMRK von einer Überstellung nach Kroatien abgesehen werden müsste (vgl. dazu Urteile des EGMR Paposhvili gegen Belgien vom 13. Dezember 2016, Grosse Kammer, 41738/10, §§ 180-193 m.w.H., bestätigt durch Savran gegen Dänemark 7. Dezember 2021, Grosse Kammer, 57467/15, §§ 121 ff.).</w:t>
      </w:r>
    </w:p>
    <w:p>
      <w:r>
        <w:rPr>
          <w:b/>
        </w:rPr>
        <w:t>E. 7.3</w:t>
      </w:r>
    </w:p>
    <w:p>
      <w:r>
        <w:t>Nach dem Gesagten besteht kein Grund für eine Anwendung der Ermessensklausel von Art. 17 Dublin-III-VO.</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sich die Rechtsbegehren als offensichtlich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Entscheid als gegenstandslos. Der mit superprovisorischer Massnahme vom 13. Oktober 2023 angeordnete Vollzugsstopp fällt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