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E-557/2017 vom 17. Juli 2019</w:t>
      </w:r>
    </w:p>
    <w:p>
      <w:r>
        <w:t>Bundesverwaltungsgericht, 2019-07-17, DE</w:t>
      </w:r>
    </w:p>
    <w:p>
      <w:r>
        <w:rPr>
          <w:b/>
        </w:rPr>
        <w:t xml:space="preserve">Quelle: </w:t>
      </w:r>
      <w:r>
        <w:t>https://mcp.opencaselaw.ch/entscheid/bvger_E-557_2017</w:t>
      </w:r>
    </w:p>
    <w:p>
      <w:r>
        <w:t>FR: TAF E-557/2017 du 17 juillet 2019</w:t>
      </w:r>
    </w:p>
    <w:p>
      <w:r>
        <w:t>IT: TAF E-557/2017 del 17 luglio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die Angaben des Beschwerdeführers seien ohne Widersprüche und mit genauen Datumsangaben erfolgt, sie seien jedoch unreflektiert und emotionslos gewesen, wenn es um die Wiedergabe von Erlebtem, Gefühlen und Motivationen gegangen sei. So habe er nicht überzeugend erklären können, weshalb er trotz der Tötung seines Bruders und den Drohungen am Bewerbungsprozess festgehalten habe, und er sei den Fragen dazu ausgewichen. Die Aufgaben eines Assistant Superintendent of Police habe er nur sehr allgemein erläutert. Über den Bewerbungs- und Auswahlprozess für die Stelle habe er nur wenig gewusst. Den Tod seines Bruders habe er emotionslos geschildert. Zudem seien seine Angaben teils widersprüchlich. An der Befragung habe er gesagt, er habe das Masterstudium an der D._______ Universität abgebrochen und sei danach eine Weile arbeitslos gewesen, während er an der Anhörung ausgeführt habe, er habe das Masterstudium am 2. März 2011 abgeschlossen. Im Widerspruch zu beiden Angaben gehe aus den eingereichten Fotos hervor, dass er im Jahr 2012 den Bachelorabschluss an der Eastern University of Sri Lanka gemacht habe. An der Befragung habe er trotz des angeblichen Todes seines Bruders zwei Mal erwähnt, an der letzten Adresse würden seine Eltern, zwei Schwestern und ein Bruder leben. In seiner Anzeige bei der Polizei vom 28. August 2014 werde der Hauptgrund für die Anzeige, der am selben Tag verübte Granatenangriff auf das Haus, nicht erwähnt. Zudem werde der Vorfall vom 26. November 2014, bei welchem er zu Hause angegriffen worden sei, anders geschildert. Der Beschwerdeführer habe zahlreiche Beweismittel eingereicht, indes würden wichtige Elemente fehlen. Er habe keine Dokumente über die D._______ Universität und den Tod seines Bruders eingereicht. Insgesamt seien die Vorbringen des Beschwerdeführers nicht glaubhaft. Der Beschwerdeführer erfülle die Risikofaktoren nicht, weshalb er bei einer Rückkehr keine asylrelevante Verfolgung zu befürchten habe.</w:t>
      </w:r>
    </w:p>
    <w:p>
      <w:r>
        <w:rPr>
          <w:b/>
        </w:rPr>
        <w:t>E. 5.2</w:t>
      </w:r>
    </w:p>
    <w:p>
      <w:r>
        <w:t>Der Beschwerdeführer bringt vor, die Aussage im Befragungsprotokoll, der Bruder "lebt bei den Eltern", beruhe auf einem Übersetzungsfehler. Richtig müsse es heissen, der Bruder "lebte bei seinen Eltern". Der universitäre Werdegang sei für die Asylbegründung nicht von Bedeutung. Er habe trotz der Ermordung seines Bruders am Bewerbungsprozess festgehalten, weil er auf eine solche Karriere eingespurt gewesen sei, die notwendigen Tests und Evaluationen überstanden und sich in dieses Projekt verbissen habe. Den Unterschied zwischen einem normalen Polizisten und einem Superintendenten habe er genannt. Als Motiv für eine Polizeikarriere habe er Bekämpfung des Drogenkonsums und Beitrag zum sozialen Frieden im Distrikt angegeben. Zum Vorwurf, er habe seine Gefühle nicht authentisch wiedergegeben, sei festzuhalten, dass der Umgang mit Gefühlen in anderen Kulturen unterschiedlich sei und die Unmittelbarkeit infolge der Übersetzung fehle. Auf die Fragen, wie die Familie auf den Tod seines Bruders reagiert habe, habe er Emotionen gezeigt. Der Übersetzer habe dies mit "bedrückt" zusammengefasst. Der gewaltsame Tod seines Bruders sei zudem durch die Polizeianzeige und die Todesurkunde belegt. Am 28. August 2014 seien auf Anraten der Polizei zwei Anzeigen gemacht worden; eine betreffend den Angriff auf ihn am 23. August 2014 und eine betreffend den Granatenangriff auf das Haus am 28. August 2014. Es sei nicht einzusehen, weshalb er eine sichere Beamtenstelle beim Landwirtschaftsministerium fluchtartig verlassen sollte, wenn er sich nicht ernsthaft um sein Leben gefürchtet hätte. Zudem sei der Vater am 13. Januar 2017 erneut nach ihm befragt und eingeschüchtert worden; dies und die zahlreichen Beweismittel bestätigten die Glaubhaftigkeit seiner Aussagen. Die asylrelevante Verfolgung habe sich durch die telefonischen Morddrohungen, die Ermordung seines Bruders, den tätlichen Angriff gegen ihn und den Granatenangriff auf das Haus seiner Familie manifestiert. Der sri-lankische Staat wolle zwar im Sinne der Grundrechte auch Tamilen und Muslime zum höheren Polizeidienst zulassen, biete aber keinen Schutz, wenn singhalesische Machtgruppen diese Öffnung gewaltsam zu verhindern versuchten. Bei einer Rückkehr nach Sri Lanka würde ihm als "Wisser von Beweismitteln zu Menschenrechtsverletzungen" und wegen unerlaubten Verlassens einer Staatsstelle eine Festnahme und Verhöre drohen.</w:t>
      </w:r>
    </w:p>
    <w:p>
      <w:r>
        <w:rPr>
          <w:b/>
        </w:rPr>
        <w:t>E. 6.1</w:t>
      </w:r>
    </w:p>
    <w:p>
      <w:r>
        <w:t>Für die Glaubhaftigkeit der Aussagen des Beschwerdeführers spricht, dass er das Auswahlverfahren für die Stelle als Assistant Superintendent of Police und die sich in diesem Zusammenhang ereigneten Vorfälle (Bedrohungen, Tötung des Bruders, tätlicher Angriff und Angriff auf das Haus) widerspruchslos schilderte. Die eingereichten Beweismittel belegen seine Tätigkeit als Staatsbeamter, die Bewerbung für die Polizeistelle und die Vorfälle und lassen keine offensichtlichen Fälschungsmerkmale erkennen. Allerdings gibt es auch Ungereimtheiten in seinen Angaben. Hinsichtlich des Masterabschlusses an der Universität gab er an der Befragung an, er habe das Masterstudium abgebrochen. An der Anhörung meinte er, er habe den Master im Jahr 2011 erworben. Auf den eingereichten Fotos ist hingegen der Bachelorabschluss auf das Jahr 2012 datiert. Auch auf zweimaliges Fragen nach den Aufgaben eines Superintendenten gab der Beschwerdeführer nur an, ein Superintendent kümmere sich um die politische und einzelnen Probleme der Leute und könne im Gegensatz zu normalen Polizisten Entscheidungen treffen. Bei einem mehrjährigen Auswahlverfahren mit drei Vorstellungsgesprächen und Examensablegung wäre zu erwarten, dass sich der Beschwerdeführer ausführlicher mit dem Inhalt dieser Stelle auseinandergesetzt und mehr Informationen darüber geschildert hätte. Trotz der Erklärungen des Beschwerdeführers bleibt es schwer nachvollziehbar, dass die Tötung seines Bruders, welche eigentlich ihm gegolten hätte, ihn nicht zum Rückzug der Bewerbung bewegt hatte. Die Frage der Glaubhaftigkeit der Vorbringen des Beschwerdeführers kann indes aufgrund der nachfolgenden Ausführungen offenbleiben.</w:t>
      </w:r>
    </w:p>
    <w:p>
      <w:r>
        <w:rPr>
          <w:b/>
        </w:rPr>
        <w:t>E. 6.2</w:t>
      </w:r>
    </w:p>
    <w:p>
      <w:r>
        <w:t>Der Beschwerdeführer vermutet, Angehörige singhalesischer Machtgruppen hätten ihn von der Bewerbung zum Superintendenten abhalten wollen, um die Besetzung höherer Polizeistellen durch Tamilen und Muslime zu verhindern. Er macht somit eine Verfolgung durch nichtstaatliche Akteure einzig wegen seiner Bewerbung auf eine höhere Polizeistelle geltend. Gestützt auf die in der Praxis entwickelte Schutztheorie (vgl. dazu BVGE 2011/51 m.w.H.) ist für die Beurteilung der Frage, ob jemand schutzbedürftig im Sinne des Gesetzes ist, massgeblich, ob im Heimatstaat adäquater Schutz vor Verfolgung in Anspruch genommen werden kann, wobei nicht nur unmittelbar oder mittelbar staatliche, sondern auch private beziehungsweise nicht staatliche Verfolgung flüchtlingsrechtlich relevant sein kann, wenn im Heimatstaat kein adäquater Schutz vor Verfolgung besteht (vgl. a.a.O. E. 7.1). Dabei kann von einem ausreichenden Schutz dann ausgegangen werden, wenn im Heimatland eine funktionierende und effiziente Schutzinfrastruktur zur Verfügung steht, womit Polizeiorgane, die ihre Aufgaben wahrnehmen, und ein Rechts- und Justizsystem, das eine effektive Strafverfolgung ermöglicht, gemeint sind (vgl. a.a.O. E. 7.3). Gemäss Rechtsprechung des Bundesverwaltungsgerichts gilt der sri-lankische Staat auch gegenüber Minderheiten wie der muslimischen und tamilischen Bevölkerung als schutzwillig und schutzfähig (Urteile des BVGerD-2475/2018 vom 24. Juli 2018 E. 6.2.2; E-4792/2017 vom 18. September 2017 E. 6.1). Der Beschwerdeführer hat wegen der Tötung seines Bruders, des tätlichen Übergriffs und des Angriffs auf das Haus Anzeige gegen eine unbekannte Täterschaft bei der Polizei erstattet. Die Anzeigen wurden von der Polizei entgegengenommen und rapportiert. Im Zusammenhang mit der Tötung des Bruders sei die Polizei vor Ort gewesen. Die Polizei war demnach gewillt, dem Beschwerdeführer Schutz zu bieten. Alleine aus dem Umstand, dass die polizeilichen Ermittlungen schnell an die Grenzen des Möglichen stossen, kann nicht auf einen fehlenden Schutzwillen oder ungenügende Schutzfähigkeit geschlossen werden. Auch in einem Land wie der Schweiz sind im Fall einer unbekannten Täterschaft die Möglichkeiten der polizeilichen Ermittlung sehr beschränkt (Urteil des BVGerD-4753/2017 vom 31. Januar 2019 E. 5.4.3). Für die Bejahung einer asylrelevanten Verfolgung nach Art. 3 AsylG muss die erlittene Verfolgung unter anderem sachlich und zeitlich kausal für die Ausreise aus dem Heimat- oder Herkunftsstaat und grundsätzlich auch im Zeitpunkt des Asylentscheides noch aktuell sein. Die geltend gemachten Vorfälle ereigneten sich einzig, weil eine unbekannte Täterschaft den Beschwerdeführer von der Bewerbung für die Stelle als Assistant Superintendent of Police abhalten wollte. Die Besetzung der Stelle sollte im Jahr 2014 erfolgen. Seither sind fünf Jahre vergangen. Es ist anzunehmen, dass die Stelle mittlerweile vergeben worden ist, womit der Grund für die Verfolgung des Beschwerdeführers weggefallen ist. Die Voraussetzung, dass die erlittene Verfolgung auch im Zeitpunkt des Asylentscheides noch aktuell sein muss, ist somit nicht erfüllt. Folglich liegt auch keine begründete Furcht vor künftiger asylrelevanter Verfolgung vor. Daran ändert auch der Brief seines Vaters vom 15. Dezember 2017, wonach er von Unbekannten nach seinem Sohn befragt und bedroht werde und deshalb umgezogen sei, nichts. Vor dem Hintergrund obiger Ausführungen ist der Brief als Gefälligkeitsschreiben zu werten. Zudem ist der Vater offenbar lediglich von der Nr. 209 der Market Road in die Nr. 923 umgezogen. Wären tatsächlich anhaltende Drohungen der Grund für den Umzug gewesen, wäre anzunehmen, dass er zumindest die Stadt gewechselt hätte. Insgesamt hat die Vorinstanz das Vorliegen einer asylrelevanten Verfolgung des Beschwerdeführers zu Recht verneint.</w:t>
      </w:r>
    </w:p>
    <w:p>
      <w:r>
        <w:rPr>
          <w:b/>
        </w:rPr>
        <w:t>E. 6.3</w:t>
      </w:r>
    </w:p>
    <w:p>
      <w:r>
        <w:t>Der Beschwerdeführer bringt vor, nach rassistischen Angriffen auf Muslime im März 2018 sei in Kandy der Ausnahmezustand ausgerufen worden. Betroffen seien auch die Distrikte G._______ und C._______, wo er herkomme. Seine persönliche Gefährdungslage in Verbindung mit der zunehmenden Verfolgung der Muslime in Sri Lanka seien ein Asylgrund. Der Beschwerdeführer macht damit einen objektive Nachfluchtgründe geltend, welcher vorliegt, wenn äussere Umstände, auf welche die asylsuchende Person keinen Einfluss nehmen konnte, zur drohenden Verfolgung führen. In solchen Fällen ist die Flüchtlingseigenschaft anzuerkennen und Asyl zu gewähren (BVGE 2010/44 E. 3.5 m.w.H.). Im Februar und März 2018 kam es in Ampara (Ostprovinz) und Kandy (Zentralprovinz) zu Übergriffen buddhistischer Nationalisten auf muslimische Wohnungen, Geschäfte und Moscheen (D.B.S. Jayaraj, Orchestrated Anti-Muslim Violence in Amparai Town and Kandy District, 18.03.2018, &lt; http://dbsjeyaraj.com/dbsj/archives/58276 &gt;, abgerufen am 08.07.2019). Die Behörden riefen am 6. März 2018 einen Ausnahmezustand aus und blockierten den Zugang zu sozialen Medien (British Broadcasting Corporation (BBC), Sri Lanka struggles to halt days of Buddhist riots, 07.03.2018, &lt; https://www.bbc.com/news/world-asia-43305453 &gt;, abgerufen am 08.07.2019). In Zusammenhang mit der Gewalt verhaftete die Polizei über 100 Personen, darunter den Anführer der buddhistischen extremistischen Gruppe Mahason Balakaya Amith Weerasinghe; es wurden indes noch keine Prozesse eröffnet (Stand: Juni 2019; Department of Foreign Affairs and Trade (DFAT), DFAT Country Information Report Sri Lanka, 23.05.2018,&lt; https://dfat.gov.au/about-us/publications/Documents/country-information-report-sri-lanka.pdf , abgerufen am 08.07.2019; UK Foreign and Commonwealth Office, Human Rights &amp; Democracy - The 2018 Foreign &amp; Commonwealth Office Report, 06.2019, https://assets.publishing.service.gov.uk/government/uploads/system/uploads/attachment_data/file/806851/human-rights-democracy-2018-foreign-and-commonwealth-office-report.pdf &gt;, abgerufen am 08.07.2019). Am 21. April 2019 verübten extremistische Islamisten Anschläge auf drei Kirchen und vier Hotels in Negombo, Colombo und Batticaloa (Al Jazeera, Sri Lanka Easter bombings: Mass casualties in churches and hotels, 21.04.2019, &lt; https://www.aljazeera.com/news/2019/04/multiple-blasts-hit-sri-lanka-churches-hotels-easter-sunday-190421050357452.html &gt;, abgerufen am 08.07.2019). Der in der Folge am 22. April 2019 verhängte Notstand wurde letztmals am 22. Juni 2019 verlängert (The Gazette of the Democratic Socialist Republic of Sri Lanka, 2120/3, 22.04.2019, &lt; http://www.documents.gov.lk/files/egz/2019/4/2120-03_E.pdf &gt;, abgerufen am 25.06.2019; The Gazette of the Democratic Socialist Republic of Sri Lanka, 2128/35, 22.06.2019, &lt; http://www.documents.gov.lk/files/egz/2019/6/2128-35_E.pdf &gt;, abgerufen am 08.07.2019). Dennoch kam es vereinzelt zu Übergriffen auf Einrichtungen und Geschäfte sri-lankischer Muslime (D.B.S. Jeyaraj, Anti-Muslim Violence in Negombo: What Really Happened on Sun-day May 5th and the Commendable Response of Cardinal Malcolm Ranjith, 16.05.2019, &lt; http://dbsjeyaraj.com/dbsj/archives/64055 &gt;, abgerufen am 08.07.2019; Journalists for Democracy in Sri Lanka (JDS), Sri Lanka anti Muslim mob violence kills 45 year old man, 14.05.2019, &lt; http://www.jdslanka.org/index.php/news-features/politics-a-current-affairs/883-sri-lanka-antimuslim-mob-violence-kills-45-year-old-man &gt;, abgerufen am 08.07.2019; Al Jazeera, Sri Lanka orders nationwide curfew amid anti-Muslim riots, 14.06.2019, &lt; https://www.aljazeera.com/news/2019/05/sri-lanka-nationwide-curfew-crowds-attack-mosques-190513144625670.html &gt;, abgerufen am 08.07.2019). Von einer durch Dritte ausgehenden konkreten Gefahr für alle Angehörige der muslimischen Minderheit ist angesichts der aktuellen Situation jedoch nicht auszugehen. Zudem ist die sri-lankische Regierung bestrebt, weiteren Ausschreitungen Einhalt zu gebieten und die Gefahr weiterer Anschläge auf Angehörige und Einrichtungen der muslimischen Glaubensgemeinschaft zu bannen. So verhängten die sri-lankischen Behörden am 13. Mai 2019 eine landesweite Ausgangsperre, blockierten vorübergehend den Zugang zu den sozialen Medien zur Verhinderung der Verbreitung von Hassbotschaften und nahmen 78 Randalierer, darunter drei buddhistische Extremisten, fest (Al Jazeera, Sri Lanka orders nationwide curfew amid anti-Muslim riots, 14.06.2019, &lt; https://www.aljazeera.com/news/2019/05/sri-lanka-nationwide-curfew-crowds-attack-mosques-190513144625670.html &gt;, abgerufen am 08.07.2019; Reuters, Sri Lanka says hardline Buddhist groups likely to blame for anti-Muslim attacks, 15.05.2019, &lt; http://news.trust.org/item/20190515153148-hj4ls &gt;, abgerufen am 08.07.2019). Im Zuge der Verhaftungen von Unterstützern des islamistischen Terrors und der Ermittlungsmassnahmen ist allerdings nicht auszuschliessen, dass derzeit Angehörige der muslimischen Gemeinschaft in Sri Lanka einer intensivierten Beobachtung und Kontrolle durch die sri-lankischen Sicherheitskräfte unterliegen. Solchen allgemeinen Kontrollen im Rahmen von Ermittlungen kommt jedoch noch keine Asylrelevanz zu (Urteil des BVGer D-2494/2018 vom 18. Juni 2019 E. 9.3). Insgesamt ist somit nicht davon auszugehen, dass dem Beschwerdeführer aufgrund der aktuellen Lage in Sri Lanka bei einer Rückkehr asylrelevante Nachteile drohen würden; das Vorliegen eines objektiven Nachfluchtgrundes ist zu verneinen.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Liberation Tigers of Tamil Eelam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Nach Einschätzung des Bundesverwaltungsgerichts ändert der Ausgang der Kommunalwahlen vom 10. Februar 2018 an der eben dargelegten Einschätzung der Verfolgungssituation nach Sri Lanka zurückkehrender Tamilen nichts. Insofern ist an der Lageeinschätzung im Urteil des BVGer E-1866/2015 vom 15. Juli 2016 festzuhalten.</w:t>
      </w:r>
    </w:p>
    <w:p>
      <w:r>
        <w:rPr>
          <w:b/>
        </w:rPr>
        <w:t>E. 7.2</w:t>
      </w:r>
    </w:p>
    <w:p>
      <w:r>
        <w:t>Der Beschwerdeführer macht keine Asylgründe geltend, die in irgendeiner Weise im Zusammenhang mit den LTTE zu sehen sind. Die Ceylon Mauren gelten als in Sri Lanka äusserst gut integriert, sprechen tamilisch oder singhalesisch. Im Bürgerkrieg waren sie Opfer der LTTE und nicht deren Verbündete; so wurden sie in den 1990er Jahren in grosser Anzahl von den LTTE aus der Nordprovinz vertrieben, da die LTTE davon ausgingen, die Angehörigen dieser muslimischen Minderheit unterstützten ihre Sache nicht hinreichend. Weder aufgrund seiner Zugehörigkeit zu dieser Minderheitsethnie noch aufgrund seiner religiösen Zugehörigkeit gehört der Beschwerdeführer einer besonderen Risikogruppe an. Zwar könnten seine illegale Ausreise, sein knapp fünfjähriger Aufenthalt in der Schweiz und ein abgewiesenes Asylgesuch bei seiner Rückkehr grundsätzlich die behördliche Aufmerksamkeit erregen. Es besteht dennoch - auch unter Berücksichtigung seines Verlassens des Arbeitsplatzes ohne Kündigung - kein konkreter Grund zur Annahme, dem Beschwerdeführer würde bei einer Rückkehr nach Sri Lanka ernsthafte Nachteile im Sinne von Art. 3 AsylG drohen.</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Nachdem der Beschwerdeführer - wie in Erwägung 7.2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 Daran vermögen auch die Anschläge am 22. April 2019 und der gleichentags von der sri-lankischen Regierung verhängte Ausnahmezustand (Neue Zürcher Zeitung [NZZ] vom 23. April 2019, Sri Lanka: Colombo spricht von islamistischem Terror, &lt; https://www.nzz.ch/.../sri-lanka-colombo-spricht-von-islamistischem-terror-ld.1476769 &gt;, abgerufen am 13.06.2019) nichts zu ändern (Urteil des BVGer D-2361/2019 vom 2. Juli 2019 E. 9.3). Der Beschwerdeführer ist gesund und verfügt über einen universitären Masterabschluss. Er hat mehrere Jahre als Staatsbeamter gearbeitet. Es ist anzunehmen, dass er mit seiner überdurchschnittlichen Schulbildung und Berufserfahrung nach seiner Rückkehr wieder eine Arbeitsstelle finden und ihm die wirtschaftliche Wiedereingliederung gelingen wird. Zudem verfügt er mit seiner Familie (Eltern, Geschwister, Onkel und Tanten) über ein tragfähiges soziales Beziehungsnetz in Sri Lanka, das ihn nötigenfalls bei der Wiedereingliederung unterstützen könnte.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Mit Zwischenverfügung vom 6. April 2017 wurden die Gesuche um Gewährung der unentgeltlichen Prozessführung und Beiordnung eines amtlichen Rechtsbeistandes gutgeheissen. Es sind somit keine Verfahrenskosten zu erheben.</w:t>
      </w:r>
    </w:p>
    <w:p>
      <w:r>
        <w:rPr>
          <w:b/>
        </w:rPr>
        <w:t>E. 11.2</w:t>
      </w:r>
    </w:p>
    <w:p>
      <w:r>
        <w:t>Der Rechtsvertreter des Beschwerdeführers reichte eine Honorarnote in der Höhe von Fr. 2'450.60 (inkl. Auslagen und Mehrwertsteuerzuschlag) ein. Dieser Betrag erscheint angemessen und ist Fürsprecher Christian Wyss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