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E-5576/2021 vom 28. Dezember 2021</w:t>
      </w:r>
    </w:p>
    <w:p>
      <w:r>
        <w:t>Bundesverwaltungsgericht, 2021-12-28, DE</w:t>
      </w:r>
    </w:p>
    <w:p>
      <w:r>
        <w:rPr>
          <w:b/>
        </w:rPr>
        <w:t xml:space="preserve">Quelle: </w:t>
      </w:r>
      <w:r>
        <w:t>https://mcp.opencaselaw.ch/entscheid/bvger_E-5576_2021</w:t>
      </w:r>
    </w:p>
    <w:p>
      <w:r>
        <w:t>FR: TAF E-5576/2021 du 28 décembre 2021</w:t>
      </w:r>
    </w:p>
    <w:p>
      <w:r>
        <w:t>IT: TAF E-5576/2021 del 28 dicembre 2021</w:t>
      </w:r>
    </w:p>
    <w:p>
      <w:pPr>
        <w:pStyle w:val="Heading2"/>
      </w:pPr>
      <w:r>
        <w:t>Regeste</w:t>
      </w:r>
    </w:p>
    <w:p>
      <w:r>
        <w:t>Nichteintreten auf Asylgesuch und Wegweisung (Dublin-Verfahren)</w:t>
      </w:r>
    </w:p>
    <w:p>
      <w:pPr>
        <w:pStyle w:val="Heading2"/>
      </w:pPr>
      <w:r>
        <w:t>Erwägungen</w:t>
      </w:r>
    </w:p>
    <w:p>
      <w:r>
        <w:rPr>
          <w:b/>
        </w:rPr>
        <w:t>E. 31</w:t>
      </w:r>
    </w:p>
    <w:p>
      <w:r>
        <w:t>August 2021 in Frage zu stellen, wobei insbesondere der Verweis auf eine Standardabweichung von zweieinhalb bis drei Jahren unbehelflich ist, zumal diese – wie sich aus der publizierten Rechtsprechung ergibt – ledig- lich bei radiologischen Knochenaltersuntersuchungen der Hand relevant ist, dass gemäss den Prüfungsergebnissen des IRM das Mindestalter des Be- schwerdeführers bei der Schlüsselbeinanalyse über 18 Jahren liegt und die Ergebnisse dieser Analyse sowie der zahnärztlichen Untersuchung sich überlappen, welches Ergebnis gemäss Praxis des Bundesverwaltungs- gericht ein starkes Indiz für die Volljährigkeit des Beschwerdeführers dar- stellt (vgl. BVGE 2018 VI/3 E. 4.2.2 S. 30), dass es bei der Würdigung der Aktenlage umso weniger auf eine Gesamt- würdigung der Beweise ankommt, je stärker die medizinischen Abklärun- gen ein Indiz für das Vorliegen der Voll- oder auch Minderjährigkeit einer Person sind (vgl. BVGE 2018 VI/3 E. 4.2.2 S. 31), dass vorliegend auch unter Berücksichtigung der übrigen Aspekte die im Altersgutachten festgestellte Unvereinbarkeit des angegebenen Lebens- alters mit der ermittelten Altersspanne und damit die Volljährigkeit kaum zu entkräften sind, dass insbesondere die Schilderungen des Beschwerdeführers anlässlich der EB UMA zwar durchaus konsistent wirken, aber weder speziell sub- stanziiert noch von vielen Realitätskennzeichen geprägt sind, dass auch der eingereichte unscharfe Scan einer Tazkira eine geringe Be- weiskraft aufweist und nicht geeignet ist, das behauptete Lebensalter wahrscheinlicher als das Altersgutachten erscheinen zu lassen, dass es dem Beschwerdeführer bei dieser Aktenlage im Asylverfahren nicht gelungen ist, seine Minderjährigkeit glaubhaft zu machen, dass die österreichischen Behörden dem Gesuch des SEM um Übernahme des Beschwerdeführers am 23. September 2021 zustimmten und die grundsätzliche Zuständigkeit Österreichs somit gegeben ist,</w:t>
      </w:r>
    </w:p>
    <w:p>
      <w:r>
        <w:t>E-5576/2021 Seite 7 dass es keine Gründe für die Annahme gibt, das Asylverfahren und die Auf- nahmebedingungen für Antragsteller in Österreich weise systemische Schwachstellen im Sinne von Art. 3 Abs. 2 Sätze 2 und 3 Dublin-III-VO auf,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der Beschwerdeführer mit seinem Vorbringen, er befürchte ange- sichts der aktuellen Rechtsprechung in Österreich eine Kettenabschiebung in seinen Heimatstaat, die Anwendung von Art. 17 Abs. 1 Dublin-III-VO res- pektive Art. 29a Abs. 3 AsylV 1 fordert, dass Österreich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österreichischen Behörden würden sich weigern, ihn wieder aufzunehmen und seinen Antrag auf internationalen Schutz unter Einhal- tung der Regeln der erwähnten Richtlinien zu prüfen,</w:t>
      </w:r>
    </w:p>
    <w:p>
      <w:r>
        <w:t>E-5576/2021 Seite 8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ausserdem keine Hinweise auf gesundheitliche Probleme ersichtlich sind, die einer Überstellung entgegenstünden, wobei in Österreich sowohl der Zugang als auch die Möglichkeit zur weiteren Behandlung der Rücken- probleme und zusätzlichen Abklärungen im psychologischen Bereich be- stehen, und der Beschwerdeführer sich zur Einforderung der entsprechen- den Rechte bei Bedarf an die dortigen Behörden wenden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und angesichts des Gesagten keine Veranlassung für eine Rückweisung der Sache an die Vorinstanz besteht, dass das Beschwerdeverfahren, soweit darin beantragt wurde, das SEM sei anzuweisen auf sein Asylgesuch einzutreten und ein materiellen Asyl- verfahren durchzuführen, mit vorliegendem Urteil abgeschlossen ist, wes- halb sich der Antrag auf Gewährung der aufschiebenden Wirkung als ge- genstandslos erweist,</w:t>
      </w:r>
    </w:p>
    <w:p>
      <w:r>
        <w:t>E-5576/2021 Seite 9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E-5576/2021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