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E-556/2012 vom 8. Februar 2012</w:t>
      </w:r>
    </w:p>
    <w:p>
      <w:r>
        <w:t>Bundesverwaltungsgericht, 2012-02-08, DE</w:t>
      </w:r>
    </w:p>
    <w:p>
      <w:r>
        <w:rPr>
          <w:b/>
        </w:rPr>
        <w:t xml:space="preserve">Quelle: </w:t>
      </w:r>
      <w:r>
        <w:t>https://mcp.opencaselaw.ch/entscheid/bvger_E-556_2012</w:t>
      </w:r>
    </w:p>
    <w:p>
      <w:r>
        <w:t>FR: TAF E-556/2012 du 8 février 2012</w:t>
      </w:r>
    </w:p>
    <w:p>
      <w:r>
        <w:t>IT: TAF E-556/2012 del 8 febbraio 2012</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hielt in ihrer Verfügung vom 26. Januar 2012 fest, dass der Abgleich der Fingerabdrücke mit der Zentraleinheit Eurodac nachgewiesen habe, dass der Beschwerdeführer am 21. Mai 2008 in Bulgarien ein Asylgesuch eingereicht hatte und die bulgarischen Behörden das Ersuchen des BFM um Übernahme des Gesuchstellers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gutgeheissen hätten. Somit liege die Zuständigkeit gemäss Dublin-Assoziierungsabkommen bei Bulgarien.</w:t>
      </w:r>
    </w:p>
    <w:p>
      <w:r>
        <w:rPr>
          <w:b/>
        </w:rPr>
        <w:t>E. 3.3</w:t>
      </w:r>
    </w:p>
    <w:p>
      <w:r>
        <w:t>Der Beschwerdeführer macht geltend, dass Anzeichen bestünden, dass das Asylgesuch in Bulgarien nicht sorgfältig geprüft worden sei und Bulgarien allenfalls gegen die Dublin-II-VO verstossen habe, indem es dem Beschwerdeführer in Anbetracht seiner Gefährdung keinen Schutz geboten habe.</w:t>
      </w:r>
    </w:p>
    <w:p>
      <w:r>
        <w:rPr>
          <w:b/>
        </w:rPr>
        <w:t>E. 3.4</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 Nach Art. 3 Abs. 2 Dublin-II-VO kann die Schweiz ein Asylgesuch prüfen, auch wenn sie nach den in dieser Verordnung vorgesehenen Kriterien nicht für die Prüfung zuständig ist, um ihren Verpflichtungen aus dem nationalen und internationalen Recht nachzukommen.</w:t>
      </w:r>
    </w:p>
    <w:p>
      <w:r>
        <w:rPr>
          <w:b/>
        </w:rPr>
        <w:t>E. 3.5</w:t>
      </w:r>
    </w:p>
    <w:p>
      <w:r>
        <w:t>Art. 3 Abs. 2 Dublin-II-VO ist jedoch nicht direkt anwendbar, sondern nur in Verbindung mit einer anderen Norm des nationalen oder internationalen Rechts anrufbar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Bulgarien ist Signatarstaat der FK, der EMRK und der FoK und es bestehen keine konkreten Hinweise dafür, dass sich Bulgarien nicht an die daraus resultierenden Verpflichtungen hält. Der Beschwerdeführer substantiiert und belegt in keiner Weise, dass sein Asylgesuch nicht sorgfältig geprüft worden sei. Auch hat er die ablehnende Verfügung der bulgarischen Behörden nicht zu den Akten gegeben. Die Behauptung des Beschwerdeführers, ihm drohe eine Wegweisung nach Armenien in Verletzung des Non-Refoulementgebots, ist damit in keiner Weise bewiesen oder glaubhaft gemacht. Die Vorinstanz ist demnach zu Recht in Anwendung von Art. 34 Abs. 2 Bst. d AsylG auf das Asylgesuch nicht eingetreten.</w:t>
      </w:r>
    </w:p>
    <w:p>
      <w:r>
        <w:rPr>
          <w:b/>
        </w:rPr>
        <w:t>E. 4</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Im Rahmen des Dublin-Verfahrens, bei dem es sich um ein Überstellungsverfahren in den für die Prüfung des Asylgesuches zuständigen Staat handelt, bleibt systembedingt kein Raum für Ersatzmassnahmen im Sinne von Art. 44 Abs. 2 AsylG i.V.m. Art. 83 Abs. 3 und 4 AuG (vgl. BVGE 2010/45 E. 10.2). Eine entsprechende Prüfung, soweit notwendig, findet vielmehr bereits im Rahmen des Nichteintretensentscheides statt. Die Vorinstanz hat den Vollzug der Wegweisung in diesem Sinne zu Recht als zulässig, zumutbar und möglich bezeichnet.</w:t>
      </w:r>
    </w:p>
    <w:p>
      <w:r>
        <w:rPr>
          <w:b/>
        </w:rPr>
        <w:t>E. 6</w:t>
      </w:r>
    </w:p>
    <w:p>
      <w:r>
        <w:t>Nach dem Gesagten ergibt sich, dass die angefochtene Verfügung Bundesrecht nicht verletzt, den rechtserheblichen Sachverhalt richtig und vollständig feststellt und angemessen ist (Art. 106 Abs. 1 AsylG). Die Beschwerde ist abzuweisen.</w:t>
      </w:r>
    </w:p>
    <w:p>
      <w:r>
        <w:rPr>
          <w:b/>
        </w:rPr>
        <w:t>E. 7</w:t>
      </w:r>
    </w:p>
    <w:p>
      <w:r>
        <w:t>Dem Ersuchen des Beschwerdeführers um Gewährung der unentgeltlichen Rechtspflege kann nicht entsprochen werden, weil sein Begehren als aussichtslos zu gelten hat (Art. 65 Abs. 1 VWVG). Das Gesuch um Verzicht auf die Erhebung eines Kostenvorschusses ist mit vorliegendem Urteil gegenstandslos geworden. Der Beschwerdeführer hat daher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