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E-5566/2020 vom 30. August 2023</w:t>
      </w:r>
    </w:p>
    <w:p>
      <w:r>
        <w:t>Bundesverwaltungsgericht, 2023-08-30, DE</w:t>
      </w:r>
    </w:p>
    <w:p>
      <w:r>
        <w:rPr>
          <w:b/>
        </w:rPr>
        <w:t xml:space="preserve">Quelle: </w:t>
      </w:r>
      <w:r>
        <w:t>https://mcp.opencaselaw.ch/entscheid/bvger_E-5566_2020</w:t>
      </w:r>
    </w:p>
    <w:p>
      <w:r>
        <w:t>FR: TAF E-5566/2020 du 30 août 2023</w:t>
      </w:r>
    </w:p>
    <w:p>
      <w:r>
        <w:t>IT: TAF E-5566/2020 del 30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(AsylG; SR 142.31) in Kraft getreten. Für das vorlie- gende Verfahren gilt das alte Recht (vgl. Abs. 1 der Übergangsbestimmun- gen zur Änderung des AsylG vom 25. September 2015).</w:t>
      </w:r>
    </w:p>
    <w:p>
      <w:r>
        <w:rPr>
          <w:b/>
        </w:rPr>
        <w:t>E. 1.4</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E-5566/2020 Seite 7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3.3</w:t>
      </w:r>
    </w:p>
    <w:p>
      <w:r>
        <w:t>Subjektive Nachfluchtgründe sind dann anzunehmen, wenn eine asyl- suchende Person erst durch die Ausreise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4.1</w:t>
      </w:r>
    </w:p>
    <w:p>
      <w:r>
        <w:t>Das SEM führt in seiner Verfügung im Wesentlichen aus, das Vorbrin- gen der Beschwerdeführerin hinsichtlich des Sorgerechts- und Alimente- streits mit ihrem (ersten) Ex-Ehemann halte den Anforderungen an Art. 3 und 7 AsylG nicht stand. So habe sie bezüglich des Vorbringens, gegen sie laufe in der Türkei ein Ermittlungsverfahren, keinerlei Beweismittel einrei- chen können, obschon dies grundsätzlich durch den Zugang zu UYAP (Anm. Gericht: elektronisches Justiz-Informationssystem der Türkei) mög- lich wäre. Die Beschwerdeführerin sei darauf hingewiesen worden, dass allfällige Verfahrensakten via UYAP eingesehen werden könnten. Ihre Be- gründung, wieso dies in ihrem Fall nicht möglich sein solle, überzeuge nicht. Ihr sei weder eine Verfahrensnummer bekannt, noch habe sie ein</w:t>
      </w:r>
    </w:p>
    <w:p>
      <w:r>
        <w:t>E-5566/2020 Seite 8 Schreiben ihres türkischen Anwalts eingereicht, welches den geltend ge- machten Sachverhalt untermauere. Aus den Akten gehe ebenso wenig her- vor, dass die Aussagen und Beschuldigungen ihres Ex-Ehemannes im Rahmen des Sorgerechts- und Alimentestreits zu einem strafrechtlichen Ermittlungsverfahren geführt hätten. Zwar werde nicht Abrede gestellt, dass zwischen ihr und ihrem Ex-Ehemann ein Konflikt bestehe. Daraus lasse sich aber keine flüchtlingsrechtliche Verfolgung ableiten. Es seien auch keine Hinweise darauf ersichtlich, dass das Sorgerechts- und Ali- menteverfahren rechtsstaatlich nicht korrekt ablaufe; bislang seien die Ver- fahren zu Gunsten der Beschwerdeführerin entschieden worden. Die Be- schuldigungen des Ex-Ehemannes seien ausserdem nach Ansicht des zu- ständigen Familiengerichts unbelegt geblieben und da es sich ohnehin um falsche Anschuldigungen handle, hätten sie vor Gericht möglicherweise gar keinen Bestand. Ebenso könne der psychische Druck, der durch die Bedrohungen des Ex-Ehemannes entstehe, nicht als genügend intensiv bezeichnet werden, um eine flüchtlingsrechtlich relevante Zwangslage zu begründen. Soweit die Beschwerdeführerin geltend mache, ihr Reisepass sei beim Ausreiseversuch im Februar 2017 von den türkischen Behörden beschlagnahmt worden, sei festzuhalten, dass gemäss Aussagen des da- maligen (zweiten) Ehemannes der Beschwerdeführerin die Beschlagnah- mung aufgrund dessen Entlassung per Dekret in Zusammenhang gestan- den sei. Ohnehin sei die Konfiszierung des Reisepasses nicht geeignet, Furcht vor künftiger Verfolgung zu begründen. Dasselbe gelte für die ille- gale Ausreise im November 2017 sowie die vorgebrachten Schikanen, wel- che mangels Intensität und aufgrund ihrer Art nicht geeignet seien, die Flüchtlingseigenschaft zu begründen. Schliesslich würden auch ihre exil- politischen Aktivitäten keine Furcht vor flüchtlingsrechtlich relevanter Ver- folgung zu begründen vermögen. Aus den Akten gehe nicht hervor, dass sich die Beschwerdeführerin in besonderer Weise exponiert habe und von den türkischen Behörden als ernsthafte und gefährliche Regimegegnerin wahrgenommen worden sei. Es sei unwahrscheinlich, dass sie beispiels- weise aufgrund ihrer geäusserten Kritik am (…)system der Türkei als miss- liebige Person erachtet werde. Sofern die Beschwerdeführerin vorbringe, die Vorladung des türkischen Generalkonsulats an ihre Schweizer Wohna- dresse stehe mit dem laufenden Ermittlungsverfahren in Zusammenhang, handle es sich dabei um eine blosse Vermutung ihrerseits. Die eingereich- ten Beweismittel würden schliesslich nichts an dieser Einschätzung än- dern.</w:t>
      </w:r>
    </w:p>
    <w:p>
      <w:r>
        <w:rPr>
          <w:b/>
        </w:rPr>
        <w:t>E. 4.2</w:t>
      </w:r>
    </w:p>
    <w:p>
      <w:r>
        <w:t>In der Beschwerde wird dem entgegengehalten, dass die Beschwerde- führerin in der Schweiz weiterhin politisch aktiv sei. Der Vorsitzende der</w:t>
      </w:r>
    </w:p>
    <w:p>
      <w:r>
        <w:t>E-5566/2020 Seite 9 HDP des Distrikts D._______ habe am 15. Oktober 2020 schriftlich bestä- tigt, dass sie Mitglied der Partei sei und an den Parlaments- und Präsident- schaftswahlen vom 7. Juni 2013 und vom 2. November 2015 mitgewirkt habe. Sie habe sodann als aktives Mitglied an zahlreichen Aktivitäten teil- genommen. Als HDP-Mitglied sei sie im Rahmen ihrer (…) Tätigkeit Gewalt und Drohungen ausgesetzt gewesen; ihr Leben sei in Gefahr. Es sei aber für die Beschwerdeführerin schwer, solche Rechtsverletzungen zu bele- gen, da das Vorgehen des türkischen Staats nicht protokolliert und zudem die Einsicht in solche Dokumente verhindert werde. Die Vorsitzenden der HDP würden sich noch im Gefängnis befinden. Gemäss Bestätigungs- schreiben des Rechtsanwalts der Beschwerdeführerin vom 28. Oktober 2020 seien die Reisepässe der Beschwerdeführerin und ihres (zweiten) Ehemannes beschlagnahmt und annulliert worden. Zwar habe die Gene- ralstaatsanwaltschaft M._______ auf Nichtverfolgung der Beschwerdefüh- rerin wegen Propaganda für eine terroristische Organisation entschieden, eine weitere strafrechtliche Untersuchung sei deswegen aber nicht ausge- schlossen. Es werde im Heimatstaat nach der Beschwerdeführerin gefragt und nach ihr gefahndet, insbesondere aufgrund der ständigen Vorwürfe und Verleumdungen ihres Ex-Ehemannes. Des Weiteren habe die Be- schwerdeführerin nach dem Angriff in Q._______ in einem Flüchtlings- camp gearbeitet, in der (…)kommission mitgewirkt und sei Mitglied der (…) in Europa, wobei sie Demonstrationen und Presseerklärungen organisiert habe. Sie habe ferner eine wichtige Rolle bei der Aufklärung zu Covid-19 eingenommen und bei veröffentlichten Videos für Kurden in Europa mitge- wirkt. Mit Schreiben vom 26. Oktober 2020 bestätige die Gesellschaft (…), dass die Beschwerdeführerin die Türkei aus politischen Gründen habe ver- lassen müssen. Die Menschenrechtslage in der Türkei, wie verschiedenen Berichten der UNO und von Nicht-Regierungsorganisationen zu entnehmen sei, habe sich deutlich verschlechtert und das Recht auf Meinungsäusserung gerate immer mehr unter Druck. Der Zugang zur Justiz sowie deren Effizienz sei ungenügend. In weiten Gebieten im kurdischen Südosten der Türkei sei der Kurdenkonflikt wieder aufgeflammt. Repressionen gegen kritische Per- sonen wie Journalisten oder HDP-Mitglieder würden immer harscher wer- den, wobei eine nicht genehme politische Aktivität bereits ausreiche und nicht nur exponierte Spitzenleute verfolgt würden. Auch die Situation be- züglich Gewalt gegen Frauen sei dramatisch, wie unter anderem der Euro- parat bestätige.</w:t>
      </w:r>
    </w:p>
    <w:p>
      <w:r>
        <w:t>E-5566/2020 Seite 10</w:t>
      </w:r>
    </w:p>
    <w:p>
      <w:r>
        <w:rPr>
          <w:b/>
        </w:rPr>
        <w:t>E. 5.1</w:t>
      </w:r>
    </w:p>
    <w:p>
      <w:r>
        <w:t>In der Beschwerde werden verschiedene formelle Rügen erhoben, wel- che vorab zu prüfen sind, da sie allenfalls geeignet sein könnten, eine Auf- hebung der vorinstanzlichen Verfügung und Rückweisung an die Vorinstanz zu bewirken (vgl. ALFRED KÖLZ/ISABELLE HÄNER/MARTIN BERT- SCHI, Verwaltungsverfahren und Verwaltungsrechtspflege des Bundes; 3. Aufl. 2013, Rz. 1043 ff. m.w.H.). Gerügt wird eine unrichtige und unvoll- ständige Feststellung des rechtserheblichen Sachverhalts sowie allgemein eine Verletzung des Anspruchs auf rechtliches Gehör.</w:t>
      </w:r>
    </w:p>
    <w:p>
      <w:r>
        <w:rPr>
          <w:b/>
        </w:rPr>
        <w:t>E. 5.2.1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5.2.2</w:t>
      </w:r>
    </w:p>
    <w:p>
      <w:r>
        <w:t>Mit dem Gehörsanspruch korreliert die Pflicht der Behörden, die Vor- bringen tatsächlich zu hören, ernsthaft zu prüfen und in ihrer Entscheidfin- dung angemessen zu berücksichtigen. Das gilt für alle form- und fristge- rechten Äusserungen, Eingaben und Anträge, die zur Klärung der konkre- ten Streitfrage geeignet und erforderlich erscheinen. Die Begründung muss so abgefasst sein, dass die betroffene Person den Entscheid gegebenen- falls sachgerecht anfechten kann. Sie muss kurz die wesentlichen Überle- gungen nennen, von denen sich die Behörde hat leiten lassen und auf die sie ihren Entscheid stützt. Nicht erforderlich ist, dass sich die Begründung mit allen Parteistandpunkten einlässlich auseinandersetzt und jedes ein- zelne Vorbringen ausdrücklich widerlegt (vgl. BGE 136 I 184 E. 2.2.1).</w:t>
      </w:r>
    </w:p>
    <w:p>
      <w:r>
        <w:rPr>
          <w:b/>
        </w:rPr>
        <w:t>E. 5.2.3</w:t>
      </w:r>
    </w:p>
    <w:p>
      <w:r>
        <w:t>Gemäss Art. 12 VwVG stellt die Behörde den Sachverhalt von Amtes wegen fest und bedient sich nötigenfalls der unter Buchstaben a–e aufge- listeten Beweismittel. Die unrichtige oder unvollständige Feststellung des</w:t>
      </w:r>
    </w:p>
    <w:p>
      <w:r>
        <w:t>E-5566/2020 Seite 11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Zürich/Basel/Genf 2013, Rz. 1043).</w:t>
      </w:r>
    </w:p>
    <w:p>
      <w:r>
        <w:rPr>
          <w:b/>
        </w:rPr>
        <w:t>E. 5.3.1</w:t>
      </w:r>
    </w:p>
    <w:p>
      <w:r>
        <w:t>Zunächst wird in der Beschwerde gerügt, dass wesentliche Aussagen der Beschwerdeführerin nicht zur Kenntnis genommen worden seien. So habe das SEM die Angaben der Beschwerdeführerin zu ihrem Sorge- rechtsstreit in der Türkei nicht gewürdigt, obschon sie in diesem Zusam- menhang von ihrem Ex-Ehemann beschuldigt worden sei, Mitglied einer Terrororganisation zu sein und die gemeinsame Tochter ins Ausland ent- führt zu haben. Ebenso wenig sei gewürdigt worden, dass sie in weiteren Berichten als Terroristin dargestellt worden sei, dass ihr für das Ausreise- verbot keine Gründe genannt worden seien und sie danach dauernd kon- trolliert worden sei und in Angst gelebt habe, dass ihr eine Woche nach den Wahlen gekündigt worden sei, weil sie für die HDP gestimmt habe, dass sie Wähler bei der Stimmabgabe unterstützt habe, dass sie als Kurdin und Alevitin sowie Mitglied des Vereins (…), der von den Behörden als Terror- verein bezeichnet worden sei, und als Mitglied der Vereine (…) und (…) zusätzlichem politischem Druck ausgesetzt sei, dass sie in den Medien mehrfach mit kritisch eingestellten Personen abgebildet worden sei und zu verschiedenen Menschenrechtsverletzungen nicht geschwiegen habe. Des Weiteren habe das SEM die Umstände keiner Würdigung unterzogen, dass bereits ihr Vater Folter erlitten habe, ihre Mutter Opfer der Folterungen der 1800-Evler-Vorfälle in Elazig gewesen sei und ihre für die HDP tätige Familie längst fichiert sei, dass nach dem Putschversuch 2016 viele Per- sonen verhaftet und verurteilt worden seien, dass auch ihr zweiter Ex-Ehe- mann entlassen, verfolgt und mindestens einmal verhaftet worden sei, dass die HDP eine (…)kommission in E._______ habe gründen wollen und in diesem Zusammenhang Kollegen der Beschwerdeführerin verhaftet worden seien, sowie, dass ihr Anwalt in der Türkei ihre asylrelevante Ver- folgung bestätigt habe. Hierzu ist zunächst festzuhalten, dass die gehörsrechtlichen Begründungs- anforderungen das SEM nicht dazu verpflichten, jedes einzelne Sachvor-</w:t>
      </w:r>
    </w:p>
    <w:p>
      <w:r>
        <w:t>E-5566/2020 Seite 12 bringen gesondert zu prüfen; es genügt vielmehr, dass das SEM die rechts- wesentlichen Entscheidungsgründe nachvollziehbar darlegt, so dass die betroffene Partei in die Lage versetzt wird, die Verfügung gegebenenfalls sachgerecht anfechten zu können (BVGE 2007/30 E. 5.6; BGE 136 I 184 E. 2.2.1 und 134 I 83 E. 4.1). Diesen Anforderungen ist mit der angefoch- tenen Verfügung zweifellos Genüge getan, da eine sachgerechte Anfech- tung – wie die vorliegende Beschwerde zeigt – möglich war. Zudem hat das SEM in seiner Verfügung, entgegen der Ausführungen auf Beschwer- deebene, sämtliche Sachvorbringen der Beschwerdeführerin zur Kenntnis genommen. Dass seine Würdigung im Ergebnis anders ausfiel als von der Beschwerdeführerin gewünscht, ist eine Frage der materiellen Prüfung.</w:t>
      </w:r>
    </w:p>
    <w:p>
      <w:r>
        <w:rPr>
          <w:b/>
        </w:rPr>
        <w:t>E. 5.3.2</w:t>
      </w:r>
    </w:p>
    <w:p>
      <w:r>
        <w:t>Im Weiteren wird gerügt, dass das SEM in Bezug auf den Zugang zu UYAP und die laufenden Terrorermittlungen gegen die Beschwerdeführerin den Sachverhalt falsch und unvollständig abgeklärt habe. So würden, ent- gegen der Ausführungen der Vorinstanz, in der Türkei die Akten in Verfah- ren in Zusammenhang mit Terrorismus, wenn überhaupt, nur zögerlich aus- gehändigt, wie dies auch durch das eingereichte Schreiben des türkischen Rechtsanwalts bestätigt werde. Die zu den Akten gereichten Schreiben die exilpolitischen Tätigkeiten der Beschwerdeführerin betreffend seien ebenso wenig gewürdigt worden. Diesbezüglich ist festzuhalten, dass das SEM die Beweismittel sowie die Vorbringen der Beschwerdeführerin durchaus zur Kenntnis nahm. Auch die eingereichten Beweismittel, darunter die Schreiben ihres türkischen Rechtsanwalts und verschiedener Organisationen, hat das SEM zur Kennt- nis genommen, im Sachverhalt aufgenommen und entsprechend ihrer Rechtserheblichkeit gewürdigt. Anders als in der Beschwerde vertreten war die Vorinstanz jedoch der Auffassung, dass die Vorbringen den Anforde- rungen an die Glaubhaftmachung nicht genügen würden beziehungsweise nicht asylrelevant seien und die eingereichten Beweismittel daran nichts zu ändern vermögen. Ob diese Einschätzung zutrifft, ist wiederum primär eine Frage der materiellen Würdigung. Dass die Vorinstanz zu einer anderen Würdigung der Gesuchsvorbringen gelangt, als von den Beschwerdefüh- rerinnen verlangt, spricht weder für eine ungenügende Sachverhaltsfest- stellung noch stellt dies eine Verletzung des Anspruchs auf rechtliches Ge- hör dar.</w:t>
      </w:r>
    </w:p>
    <w:p>
      <w:r>
        <w:rPr>
          <w:b/>
        </w:rPr>
        <w:t>E. 5.4</w:t>
      </w:r>
    </w:p>
    <w:p>
      <w:r>
        <w:t>Da sich die formellen Rügen als unbegründet erweisen besteht keine Veranlassung, die Sache aufzuheben und an die Vorinstanz zurückzuwei- sen. Das diesbezügliche Rechtsbegehren ist somit abzuweisen.</w:t>
      </w:r>
    </w:p>
    <w:p>
      <w:r>
        <w:t>E-5566/2020 Seite 13</w:t>
      </w:r>
    </w:p>
    <w:p>
      <w:r>
        <w:rPr>
          <w:b/>
        </w:rPr>
        <w:t>E. 6</w:t>
      </w:r>
    </w:p>
    <w:p>
      <w:r>
        <w:t>Das Bundesverwaltungsgericht kommt nach Durchsicht der Akten zum Schluss, dass die Ausführungen des SEM zu bestätigen sind. Zur Vermei- dung von Wiederholungen kann vorab vollumfänglich darauf verwiesen werden (Verfügung S. 5 ff.; oben E. 6.1).</w:t>
      </w:r>
    </w:p>
    <w:p>
      <w:r>
        <w:rPr>
          <w:b/>
        </w:rPr>
        <w:t>E. 6.1</w:t>
      </w:r>
    </w:p>
    <w:p>
      <w:r>
        <w:t>Zunächst ist mit der Vorinstanz festzustellen, dass die geltend gemach- ten familiären Probleme der Beschwerdeführerin nicht asylrechtlich rele- vant sind, zumal es diesen bereits an einem asylrechtlichen Verfolgungs- motiv fehlt. Zum einen ist den Akten zu entnehmen, dass der Beschwerde- führerin das Sorgerecht für ihre Tochter in einem ersten Verfahren vor dem Familiengericht in M._______ 2018/2019 bereits erteilt wurde (act. A35/22 F79). Zum anderen ist festzustellen, dass ein aktueller Konflikt mit dem ersten Ex-Ehemann strafrechtlichen Ausmasses nicht glaubhaft gemacht werden konnte und unter Berücksichtigung aller Umstände eher unwahr- scheinlich sein dürfte: Sowohl im vorinstanzlichen Verfahren als auch im Beschwerdeverfahren konnte die Beschwerdeführerin, die vorbringt, auf- grund der Vorwürfe ihres Ex-Ehemannes sei in der Türkei ein Ermittlungs- verfahren wegen Terrorismus-Propaganda gegen sie eingeleitet worden, keinerlei Beweismittel einreichen – dies, obschon durch das Informations- system UYAP allfällige strafrechtliche Akten zugänglich wären. Die Beschwerde- führerin verfügt in ihrem Heimatstaat überdies über einen Anwalt, der ihr bei der Beschaffung allfälliger gerichtlicher oder polizeilicher Dokumente behilflich sein könnte und insbesondere Zugang zu UYAP erlangen kann. Ihre Begründung, der Zugang zu derartigen Unterlagen sei ebenfalls für Anwälte erschwert, kann angesichts dessen, dass offenbar während des nunmehr knapp sechs Jahre dauernden Asylverfahrens in der Schweiz kei- nerlei Versuche unternommen worden sind, Einsicht in die Verfahrensak- ten der Beschwerdeführerin zu nehmen, nicht gehört werden. Daran ändert auch das Schreiben des türkischen Rechtsanwalts vom 25. September 2020, welches als reines Gefälligkeitsschreiben zu werten ist und nur einen geringen Beweiswert aufweist, nichts. Zudem hätte ihren Aussagen zufolge am (…) 2020 eine nächste Gerichtsverhandlung betreffend das Sorgerecht und die Alimentestreitigkeiten stattfinden sollen (act. A35/22 F88); auch diesbezüglich vermochte sie aber keinerlei weiteren Beweismittel einzu- reichen. Es ist mithin insgesamt zu bezweifeln, dass gegen die Beschwer- deführerin im Zusammenhang mit den Anschuldigungen ihres Ex-Eheman- nes ein Ermittlungsverfahren wegen Terrorismus-Propaganda hängig ist und sie aufgrund des Einflusses ihres Ex-Ehemannes auf den türkischen Justizapparat in einem flüchtlingsrechtlich relevanten Fokus der türkischen</w:t>
      </w:r>
    </w:p>
    <w:p>
      <w:r>
        <w:t>E-5566/2020 Seite 14 Behörden steht. An dieser Einschätzung vermögen weder die Berichter- stattungen in Fernsehen und Radio über sie und ihren Sorgerechtsstreit noch das auf Beschwerdeebene mit Eingabe vom 6. Juli 2023 nachge- reichte Schreiben des Ex-Schwiegervaters der Beschwerdeführerin, wel- ches vom 23. November 2018 datiert, etwas zu ändern.</w:t>
      </w:r>
    </w:p>
    <w:p>
      <w:r>
        <w:rPr>
          <w:b/>
        </w:rPr>
        <w:t>E. 6.2</w:t>
      </w:r>
    </w:p>
    <w:p>
      <w:r>
        <w:t>Sofern die Beschwerdeführerin geltend macht, sie habe als Mitglied der HDP verschiedene Tätigkeiten für den Verein ausgeführt, unter anderem im Zusammenhang mit den Wahlen 2013 und 2015 sowie in der (…)kom- mission, ist nicht anzunehmen, dass sie deswegen in flüchtlingsrechtlich relevanter Weise behelligt worden ist. Dasselbe gilt für ihre Mitgliedschaf- ten in alevitischen Kulturvereinen, (…)organisationen wie G._______ oder der (…)kammer. Es mag zwar zutreffen, dass sie in erwähntem Zeitraum, wie sie darlegte, Behelligungen ausgesetzt worden war. So sei sie bei den Fahrten nach R._______ von Beamten unnötig oft kontrolliert, die Schei- benwischer ihres Autos seien einmal beschädigt worden und ihre Nach- barn hätten Wahlkleber an ihre Wohnungstüre geklebt. Ausserdem sei ihr Reisepass konfisziert und ihr sei gekündigt worden. Einen direkten Zusam- menhang der genannten Vorfälle mit ihrem politischen Engagement ist je- doch nicht ersichtlich, zumal auch sie selbst diesbezüglich bloss Vermu- tungen anbringen kann (act. A35/22 F35). Ausserdem fehlt es den genann- ten Vorfällen an der notwendigen Intensität. In Bezug auf die Konfiszierung ihres Reisepasses bei ihrem Ausreisever- such im Februar 2017 ist aufgrund der Aussagen ihres zweiten Ex-Ehe- mannes ferner davon auszugehen, dass die Konfiszierung mit dessen Ent- lassung und nicht mit ihren politischen Tätigkeiten in Zusammenhang stand (s. angefochtene Verfügung S. 7). Dem wird auch auf Beschwerdeebene nichts entgegengehalten. Trotz ihres geltend gemachten Engagements wurde die Beschwerdeführerin ferner weder von den türkischen Behörden in gezielter Weise behelligt, noch einer verbotenen oppositionellen Tätig- keit verdächtigt oder gar strafrechtlich belangt (act. A35/22 F60, 64). Ihre Ausführungen an der Anhörung beschränken sich über weite Teile auf die allgemein verschlechterte Lage in der Türkei nach der Entlassungswelle und den Wahlen, die vermehrten Verhaftungen und die Stresssituation, in der sie sich deswegen befunden habe (act. A35/22 F55, 57). Das Engage- ment der Beschwerdeführerin in ihrem Heimatstaat scheint sich im Übrigen auf kulturelle (alevitische), humanitäre und (…) Belange zu beschränken. An dieser Einschätzung vermögen weder die eingereichten Beweismittel noch die Ausführungen auf Beschwerdeebene etwas zu ändern.</w:t>
      </w:r>
    </w:p>
    <w:p>
      <w:r>
        <w:t>E-5566/2020 Seite 15 Ferner ist nicht ersichtlich, dass die Beschwerdeführerin aufgrund des po- litischen Engagements ihrer Familie in der Vergangenheit (act. A35/22 F55 S. 12, F71 ff.) in den Fokus der staatlichen Behörden gelangt wäre.</w:t>
      </w:r>
    </w:p>
    <w:p>
      <w:r>
        <w:rPr>
          <w:b/>
        </w:rPr>
        <w:t>E. 6.3</w:t>
      </w:r>
    </w:p>
    <w:p>
      <w:r>
        <w:t>Soweit in der Beschwerde unter Verweis auf verschiedene Quellen die Menschenrechtslage und spezifisch die Problematik von Femiziden, der sexuellen Ausbeutung sowie der häuslichen Gewalt in der Türkei kritisiert wird, ist – ohne der Beschwerdeführerin die subjektive Belastung durch den Sorgerechts- und Alimentestreit mit ihrem ersten Ex-Ehemann abzuspre- chen – festzuhalten, dass ein Bezug zu ihr fehlt.</w:t>
      </w:r>
    </w:p>
    <w:p>
      <w:r>
        <w:rPr>
          <w:b/>
        </w:rPr>
        <w:t>E. 6.4</w:t>
      </w:r>
    </w:p>
    <w:p>
      <w:r>
        <w:t>Lediglich ergänzend ist festzustellen, dass die Beschwerdeführerin al- lein aufgrund ihres – im Übrigen unsubstanziiert gebliebenen – Vorbrin- gens, als Alevitin und Kurdin Diskriminierungen zu erleiden, nichts zu ihren Gunsten abzuleiten vermag. Das Bundesverwaltungsgericht stellt praxis- gemäss sehr hohe Anforderungen an die Bejahung einer Kollektivverfol- gung (vgl. BVGE 2013/11 E. 5.4.1 m.w.H.), die im Falle der kurdischen und alevitischen Bevölkerung in der Türkei nicht als erfüllt zu erachten sind, dies auch unter Berücksichtigung der aktuellen politischen Entwicklungen in der Türkei (vgl. dazu statt vieler das Urteil E-2639/2020 vom 8. Novem- ber 2022 E. 7.12 m.w.H.).</w:t>
      </w:r>
    </w:p>
    <w:p>
      <w:r>
        <w:rPr>
          <w:b/>
        </w:rPr>
        <w:t>E. 6.5</w:t>
      </w:r>
    </w:p>
    <w:p>
      <w:r>
        <w:t>Es ergeben sich ebenso mit Blick auf das Verfahren ihres zweiten Ehe- mannes, von dem die Beschwerdeführerin zwischenzeitlich geschieden ist, keine Anhaltspunkte auf eine allfällige Reflexverfolgung. Entsprechendes hat die Beschwerdeführerin denn auch nicht geltend gemacht.</w:t>
      </w:r>
    </w:p>
    <w:p>
      <w:r>
        <w:rPr>
          <w:b/>
        </w:rPr>
        <w:t>E. 6.6</w:t>
      </w:r>
    </w:p>
    <w:p>
      <w:r>
        <w:t>Zusammenfassend ergibt sich, dass keine im Zeitpunkt der Ausreise der Beschwerdeführerin oder heute asylrechtlich relevanten Verfolgungs- gründe ersichtlich sind, weshalb die Vorinstanz in diesem Punkt die Flücht- lingseigenschaft zu Recht verneint und das Asylgesuch von ihr und ihrer Tochter, die keine eigenen Fluchtgründe geltend macht, zu Recht abge- lehnt hat.</w:t>
      </w:r>
    </w:p>
    <w:p>
      <w:r>
        <w:rPr>
          <w:b/>
        </w:rPr>
        <w:t>E. 7.1</w:t>
      </w:r>
    </w:p>
    <w:p>
      <w:r>
        <w:t>Die Beschwerdeführerin macht weiter das Vorliegen subjektiver Nach- fluchtgründe im Sinne von Art. 54 Asyl geltend. Unter Beilage eines Artikels der Zeitung (…) vom 14. Oktober 2020 bringt sie auf Beschwerdeebene vor, in der Schweiz weiterhin politisch aktiv zu sein.</w:t>
      </w:r>
    </w:p>
    <w:p>
      <w:r>
        <w:rPr>
          <w:b/>
        </w:rPr>
        <w:t>E. 7.2</w:t>
      </w:r>
    </w:p>
    <w:p>
      <w:r>
        <w:t>Das Gericht geht davon aus, dass sich die türkischen Behörden auf die Erfassung von Personen konzentrieren, die über die massentypischen und</w:t>
      </w:r>
    </w:p>
    <w:p>
      <w:r>
        <w:t>E-5566/2020 Seite 16 niedrigprofilierten Erscheinungsformen exilpolitischer Proteste hinaus Funktionen wahrgenommen oder Aktivitäten entwickelt haben, welche die Person aus der Masse der Unzufriedenen herausheben und als ernsthaf- ten und gefährlichen Regimegegner erscheinen lassen. Massgebend ist dabei nicht primär das Hervortreten im Sinne einer optischen Erkennbar- keit, sondern einer Exponierung, die aufgrund der Persönlichkeit der asyl- suchenden Person, der Form des Auftritts und des Inhalts der in der Öf- fentlichkeit abgegebenen Erklärungen den Eindruck erweckt, dass sie zu einer Gefahr für das türkische Regime wird (vgl. hierzu etwa die Urteile des BVGer E-6542/2017 vom 11. November 2019 E. 7.3.3 oder D-705/2018 vom 18. Februar 2019 E. 6.1.1 m.w.H.).</w:t>
      </w:r>
    </w:p>
    <w:p>
      <w:r>
        <w:rPr>
          <w:b/>
        </w:rPr>
        <w:t>E. 7.3</w:t>
      </w:r>
    </w:p>
    <w:p>
      <w:r>
        <w:t>Vorliegend ist nicht davon auszugehen, dass die Beschwerdeführerin zum Zeitpunkt ihrer Ausreise aus der Türkei als staatsfeindliche Person galt. Wie bereits erläutert, sind ihre politischen Aktivitäten im Heimatstaat als niederschwellig zu erachten; ihren eigenen Angaben zufolge ist sie auf- grund ihres politischen Engagements auch niemals verhaftet, angeklagt oder verurteilt worden. Sie hat ebenso wenig über gezielt gegen sie gerich- tete staatliche Behelligungen berichtet. Des Weiteren reichen ihre politi- schen Aktivitäten in der Schweiz nicht aus, um im Fall der Rückkehr von einer objektiv begründeten Furcht vor Repressalien der türkischen Behör- den auszugehen. In Bezug auf den auf Beschwerdeebene eingereichten Zeitungsartikel ist zudem festzustellen, dass dieser vor knapp drei Jahren veröffentlicht wurde und sich in allgemeiner Weise zu frauenspezifischen Menschenrechtsverletzungen in der Türkei äussert. Publikationen neueren Datums sind den Akten nicht zu entnehmen. Im Übrigen kann auf die zu- treffenden Ausführungen des SEM verwiesen werden (vgl. Verfügung S. 8), denen auf Beschwerdeebene auch nichts entgegengesetzt wird, was zu einer anderen Einschätzung führen könnte.</w:t>
      </w:r>
    </w:p>
    <w:p>
      <w:r>
        <w:rPr>
          <w:b/>
        </w:rPr>
        <w:t>E. 7.4</w:t>
      </w:r>
    </w:p>
    <w:p>
      <w:r>
        <w:t>Es ist somit nicht davon auszugehen, dass die Beschwerdeführerin seit ihrer Einreise in die Schweiz aufgrund ihrer politischen und kulturellen Tä- tigkeiten in den Fokus der türkischen Regierung gelangte. Mit Blick auf Art und Umfang ihrer Aktivitäten erfüllt sie nicht das Profil einer engagierten und exponierten Regimegegnerin, welche sich über das Mass von der grossen Zahl exilpolitisch tätigen Türkinnen und Türken abhebt.</w:t>
      </w:r>
    </w:p>
    <w:p>
      <w:r>
        <w:rPr>
          <w:b/>
        </w:rPr>
        <w:t>E. 8</w:t>
      </w:r>
    </w:p>
    <w:p>
      <w:r>
        <w:t>Zusammenfassend ergibt sich, dass die Beschwerdeführerin die Flücht- lingseigenschaft nicht erfüllt. Die Vorinstanz hat folglich zu Recht ihre</w:t>
      </w:r>
    </w:p>
    <w:p>
      <w:r>
        <w:t>E-5566/2020 Seite 17 Flüchtlingseigenschaft verneint und das Asylgesuch sowie das ihrer Toch- ter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E-5566/2020 Seite 18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Beschwerdeführerin- nen in den Heimatstaat ist demnach unter dem Aspekt von Art. 5 AsylG rechtmässig. Sodann ergeben sich weder aus den Aussagen der Beschwerdeführerin- nen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Beschwerdeführerinnen eine konkrete Gefahr ("real risk") nachweisen oder glaubhaft machen, dass ihnen im Fall einer Rückschie- bung Folter oder unmenschliche Behandlung drohen würde (vgl. Urteil des EGMR Saadi gegen Italien vom 28. Februar 2008, Grosse Kammer 37201/06, §§ 124–127 m.w.H.). Ebenso wenig lässt die allgemeine Men- schenrechtssituation im Heimatstaat den Wegweisungsvollzug zum heuti- gen Zeitpunkt als unzulässig erscheinen. Nach dem Gesagten ist der Voll- zug der Wegweisung sowohl im Sinne der asyl- als auch der völkerrechtli- 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w:t>
      </w:r>
    </w:p>
    <w:p>
      <w:r>
        <w:t>E-5566/2020 Seite 19 des Bundesverwaltungsgerichts nicht von einer Situation allgemeiner Ge- walt oder von bürgerkriegsähnlichen Verhältnissen in der Türkei – auch nicht für Angehörige der kurdischen Ethnie – auszugehen (vgl. statt vieler Urteile des BVGer E-87/2023 vom 29. März 2023 E.8.3.1 und E-6224/2019 vom 19. April 2023 E. 8.3.2 je m.w.H.). Beim Heimatort der Beschwerde- führerinnen, E._______, handelt es sich sodann nicht um eine Provinz, bei der das Bundesverwaltungsgericht von der generellen Unzumutbarkeit des Vollzugs von Wegweisungen ausgeht (vgl. BVGE 2013/2 E. 9.6 und das Referenzurteil E-1948/2018 E. 7.3.1 f.).</w:t>
      </w:r>
    </w:p>
    <w:p>
      <w:r>
        <w:rPr>
          <w:b/>
        </w:rPr>
        <w:t>E. 10.4.2</w:t>
      </w:r>
    </w:p>
    <w:p>
      <w:r>
        <w:t>In individueller Hinsicht ist in Übereinstimmung mit dem SEM (s. Verfügung S. 9 f.) festzuhalten, dass die Beschwerdeführerin mit ihren Eltern und ihrem Bruder über ein tragfähiges Beziehungsnetz in der Türkei verfügt (act. A35/22 F51). Aufgrund ihres abgeschlossenen (…)studiums und ihrer bisherigen Tätigkeit als (…) kann davon ausgegangen werden, dass sie in der Lage sein wird, in ihrer Heimat für sich und ihre Tochter eine wirtschaftliche Existenz aufzubauen. Sowohl die Beschwerdeführerin als auch ihre Tochter machen ferner keine gesundheitlichen Probleme, die ei- ner Wegweisung entgegenstehen würden, geltend. Den Akten sind sodann keine Hinweise darauf zu entnehmen, dass das Kindeswohl nach Art. 3 des Übereinkommens vom 20. November 1989 über die Rechte des Kindes (KRK, SR 0.107) dem Wegweisungsvollzug der Beschwerde- führerinnen entgegenstehen würde (s. auch Urteile des BVGer D-322/2022 vom 31. März 2022 E. 7.3.4; D-463/2022 vom 20. Juni 2022 E. 8.3 f.; D-13/2021/ D-15/2021 vom 7. März 2023 E. 9.3.4 ff.). Zum einen ist von einem intakten Verhältnis zur Mutter, zum anderen von nach wie vor bestehenden engen sozialen und familiären Anknüpfungspunkten im Hei- matstaat auszugehen. Mit ihren mittlerweile (…) Jahren befindet sich die Tochter ferner noch in einem Alter, in dem weiterhin die Eltern beziehungs- weise die Mutter die Hauptbezugsperson darstellt. Es ist davon auszuge- hen, dass die Kernfamilie eine wichtigere Rolle spielt als ausserfamiliäre Beziehungen. Von einer fortgeschrittenen Integration in der Schweiz, die einer Rückkehr in den Heimatstaat wegen einer starken Entwurzelung ent- gegensteht, ist auch unter Berücksichtigung des mittlerweile fast fünfjähri- gen Aufenthalts in der Schweiz zum heutigen Zeitpunkt nicht auszugehen. Insgesamt ist daher nicht davon auszugehen, dass das Kindeswohl bei ei- ner Rückkehr in die Türkei gefährdet wäre.</w:t>
      </w:r>
    </w:p>
    <w:p>
      <w:r>
        <w:rPr>
          <w:b/>
        </w:rPr>
        <w:t>E. 10.4.3</w:t>
      </w:r>
    </w:p>
    <w:p>
      <w:r>
        <w:t>Nach dem Gesagten erweist sich der Vollzug der Wegweisung als zumutbar.</w:t>
      </w:r>
    </w:p>
    <w:p>
      <w:r>
        <w:t>E-5566/2020 Seite 20</w:t>
      </w:r>
    </w:p>
    <w:p>
      <w:r>
        <w:rPr>
          <w:b/>
        </w:rPr>
        <w:t>E. 10.5</w:t>
      </w:r>
    </w:p>
    <w:p>
      <w:r>
        <w:t>Schliesslich obliegt es den Beschwerdeführerinnen, sich bei der zu- ständigen Vertretung des Heimatstaates die für eine Rückkehr notwendi- gen Reisedokumente zu beschaffen (vgl. Art. 8 Abs. 4 AsylG und dazu auch BVGE 2008/34 E. 12), weshalb der Vollzug der Wegweisung als mög- 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Beschwerdeführerinnen aufzuerlegen (Art. 63 Abs. 1 VwVG). Da das Ge- such um Gewährung der unentgeltlichen Prozessführung mit Zwischenver- fügung vom 25. November 2020 gutgeheissen wurde und nicht von einer Änderung der finanziellen Lage der Beschwerdeführerinnen auszugehen ist, sind keine Verfahrenskosten zu erheben.</w:t>
      </w:r>
    </w:p>
    <w:p>
      <w:r>
        <w:rPr>
          <w:b/>
        </w:rPr>
        <w:t>E. 12.2</w:t>
      </w:r>
    </w:p>
    <w:p>
      <w:r>
        <w:t>Ebenfalls mit Zwischenverfügung vom 25. November 2020 wurde das Gesuch um Beiordnung des mandatierten Rechtsvertreters als amtlicher Rechtsbeistand gutgeheissen. Er ist für seinen Aufwand zu entschädigen, soweit dieser sachlich notwendig war (Art. 12 i.V.m. Art. 8 Abs. 2 des Reg- lements vom 21. Februar 2008 über die Kosten und Entschädigungen vor dem Bundesverwaltungsgericht [VGKE, SR 173.320.2]). Der Rechtsvertre- ter hat mit Eingaben vom 15. Juli 2022 und vom 5. Juli 2023 Kostennoten eingereicht. Er bezifferte den gesamten zeitlichen Aufwand mit 14 Stunden, bei einem Stundenansatz von Fr. 220.–. Zudem werden Spesen in der Ge- samthöhe von Fr. 75.20 in Ansatz gebracht. Der zeitliche Aufwand scheint angemessen. Das amtliche Honorar ist daher insgesamt auf Fr. 3'398.– festzusetzen (einschliesslich Auslagen und MwSt.) und geht zulasten der Gerichtskasse des Bundesverwaltungsgerichts.</w:t>
      </w:r>
    </w:p>
    <w:p>
      <w:r>
        <w:t>(Dispositiv nächste Seite)</w:t>
      </w:r>
    </w:p>
    <w:p>
      <w:r>
        <w:t>E-5566/2020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