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E-5561/2020 vom 6. Oktober 2020</w:t>
      </w:r>
    </w:p>
    <w:p>
      <w:r>
        <w:t>Bundesverwaltungsgericht, 2020-10-06, FR</w:t>
      </w:r>
    </w:p>
    <w:p>
      <w:r>
        <w:rPr>
          <w:b/>
        </w:rPr>
        <w:t xml:space="preserve">Quelle: </w:t>
      </w:r>
      <w:r>
        <w:t>https://mcp.opencaselaw.ch/entscheid/bvger_E-5561_2020_d20201006</w:t>
      </w:r>
    </w:p>
    <w:p>
      <w:r>
        <w:t>FR: TAF E-5561/2020 du 6 octobre 2020</w:t>
      </w:r>
    </w:p>
    <w:p>
      <w:r>
        <w:t>IT: TAF E-5561/2020 del 6 ottobre 2020</w:t>
      </w:r>
    </w:p>
    <w:p>
      <w:pPr>
        <w:pStyle w:val="Heading2"/>
      </w:pPr>
      <w:r>
        <w:t>Regeste</w:t>
      </w:r>
    </w:p>
    <w:p>
      <w:r>
        <w:t>Asile et renvoi | Asile et renvoi; décision du SEM du 6 octobre 2020</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 Le Tribunal est donc compétent pour connaître du présent litige.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(art. 48 PA, applicable par renvoi de l'art. 37 LTAF). Présenté dans la forme (art. 52 al. 1 PA par renvoi de l'art. 6 LAsi)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les réf. cit. ; 2011/50 consid. 3.1.1 p. 996 s. et les réf. cit.).</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2.4</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3.1</w:t>
      </w:r>
    </w:p>
    <w:p>
      <w:r>
        <w:t>Dans son recours, l'intéressé affirme à titre préalable avoir eu des difficultés à comprendre les questions posées et à exprimer ses motifs d'asile. Il allègue avoir été déstabilisé par l'interprète lors de son audition du 29 juillet 2020. De son côté, le Tribunal constate que le recourant a bien compris et a su répondre à la plupart des questions, sans se plaindre de difficultés de traduction. Si, effectivement, plusieurs questions lui ont été répétées, c'est qu'il n'y a pas répondu précisément. Après simple répétition, il a donné satisfaction, ce qui exclut un problème de communication. En réalité, le recourant paraît plutôt s'être efforcé de trouver des motifs d'asile qu'il n'avait, en définitive, pas (cf. p-v. aud. du 29 juillet 2020, R 81-83 et R 159-163). A cet égard, bien que l'occasion de compléter ses allégations lui ait été donnée durant son audition, ou plus tard au stade du recours, il n'en a rien fait. Partant, rien ne permet d'affirmer que le comportement de l'interprète ou le déroulement de l'audition aurait empêché le recourant d'exposer correctement ses motifs d'asile.</w:t>
      </w:r>
    </w:p>
    <w:p>
      <w:r>
        <w:rPr>
          <w:b/>
        </w:rPr>
        <w:t>E. 3.2.1</w:t>
      </w:r>
    </w:p>
    <w:p>
      <w:r>
        <w:t>Cela dit, comme relevé par le SEM, il peut d'emblée être constaté que le kidnapping allégué par le recourant, vraisemblablement commis pour des motifs crapuleux, a eu lieu en 2014, ce qui exclut tout lien de causalité temporel entre cet évènement et son départ d'Irak, en 2018.</w:t>
      </w:r>
    </w:p>
    <w:p>
      <w:r>
        <w:rPr>
          <w:b/>
        </w:rPr>
        <w:t>E. 3.2.2</w:t>
      </w:r>
    </w:p>
    <w:p>
      <w:r>
        <w:t>Sa prétendue conversion n'apparaît pas être plus en lien avec de départ. Force est de constater qu'il n'a subi aucun préjudice avant 2016. Il allègue avoir vécu un divorce très difficile cette même année, dans un contexte de vives tensions liées à son apostasie. Toutefois, hormis les menaces reçues, il n'a personnellement pas été visé par des actes de sa belle-famille. Sa femme l'aurait été. A cet égard, on ne peut que s'étonner que l'intéressé, invité à fournir la cause de sa séparation, ait indiqué que le tribunal de B._______ avait fait mention de « problèmes conjugaux » et du fait qu'il était « une personne négligente » (p.-v. aud. du 29 juillet 2020, R 126), à l'exclusion - apparemment - d'un motif d'ordre religieux. Si la conversion de l'intéressé avait bien été la cause principale de la séparation, sa belle-famille, prétendument remontée contre lui, n'aurait pas manqué de se servir de l'argument de l'apostasie pour obtenir gain de cause dans la procédure de divorce. Quoi qu'il en soit, le recourant n'a, selon ses propres dires, plus eu de contact avec son ex-épouse ou sa famille depuis cet évènement. S'il expose avoir été menacé par ses oncles en 2017, à l'occasion d'une commémoration chrétienne, il relève aussi que ces derniers ne lui ont causé aucun ennui depuis lors. Il n'exclut certes pas que les événements survenus peu avant son départ du pays soient en relation avec sa conversion, mais aucun élément ne vient étayer cette thèse. Cela dit, il convient de relever que le reniement de la religion musulmane ou la conversion à une autre religion ne sont pas légalement interdits dans la zone autonome kurde de l'Irak ; ils ne sont néanmoins pas reconnus par les autorités, le statut personnel des individus concernés restant le même. En pratique, une personne renonçant à l'islam aura de la peine à obtenir la protection des autorités contre des menaces émanant de ses proches ou de son clan, la plus grande partie de la population n'admettant pas un tel comportement. (cf. arrêt du TAF E-2472/2021 du 11 juin 2021 consid. 4.2 ; E-284/2018 du 27 juillet 2018 consid. 3.3). En l'espèce, comme expliqué ci-dessus, le recourant n'a pas rencontré de difficultés attestées en raison de sa conversion. Au regard de ces éléments, la question de la protection de la part de l'Etat d'origine n'a pas à être examinée plus avant.</w:t>
      </w:r>
    </w:p>
    <w:p>
      <w:r>
        <w:rPr>
          <w:b/>
        </w:rPr>
        <w:t>E. 3.2.3</w:t>
      </w:r>
    </w:p>
    <w:p>
      <w:r>
        <w:t>En ce qui concerne les événements prétendument survenus peu avant son départ, le recourant semble étrangement en ignorer les raisons et les auteurs, se limitant à des suppositions. Ces événements auraient principalement pour cause, selon lui, soit son implication dans une enquête impliquant une personne haut placée, soit des informations transmises sans autorisation à des journalistes. Sur ces points, le Tribunal relèvera que dans son activité de policier, le recourant avait un rôle simple, d'exécutant, axé sur la protection et la surveillance, notamment à B._______ et C._______. Il n'exerçait à entendre ses propos pas de charge impliquant des responsabilités importantes ou des fonctions décisionnelles. Il est donc peu probable que des personnes s'en soient prises à lui dans les circonstances décrites. S'agissant des informations transmises aux journalistes concernant les conditions de détention dans les prisons d'Etat, le recourant n'a pas démontré en quoi ce qu'il avait divulgué aurait pu l'amener à subir les ennuis allégués. Sa détention de trois jours, prétendument suite à la découverte d'un trafic de (...) impliquant le (...), n'a, elle, pas eu d'influence sur la suite de sa carrière, celle-ci s'étant d'ailleurs poursuivie jusqu'à son départ d'Irak. En définitive, comme déjà exposé, l'intéressé ignore les motifs ayant motivé la fouille du domicile familial et l'attaque à l'arme à feu alléguée. Vu l'importance de ces faits, à les tenir pour crédibles, on peut raisonnablement considérer que s'il avait été personnellement visé dans une procédure, il en aurait eu vent, et que si des personnes mal intentionnées avaient eu de réelles velléités de l'éliminer, de manière ciblée, il en aurait connu les motifs et aurait sur la durée difficilement pu leur échapper. Ainsi, toujours à admettre les faits, le recourant n'a pas été visé personnellement, mais dans le cadre de son activité de policier en général, qu'il n'exerce désormais plus.</w:t>
      </w:r>
    </w:p>
    <w:p>
      <w:r>
        <w:rPr>
          <w:b/>
        </w:rPr>
        <w:t>E. 3.3</w:t>
      </w:r>
    </w:p>
    <w:p>
      <w:r>
        <w:t>Dans son recours, l'intéressé n'amène pas d'argument de nature à mettre en cause ce qui précède. Il se réfère notamment à certains passages de rapports et d'articles pour illustrer ses allégations relatives aux risques encourus par les convertis, ainsi qu'au trafic de (...). Les passages cités ne traitent toutefois pas spécifiquement de sa situation ou de ses motifs d'asile. Partant, ils ne lui permettent pas de démontrer, au vu de ses déclarations, qu'il sera lui-même exposé à des persécutions en cas de retour dans son pays.</w:t>
      </w:r>
    </w:p>
    <w:p>
      <w:r>
        <w:rPr>
          <w:b/>
        </w:rPr>
        <w:t>E. 3.4</w:t>
      </w:r>
    </w:p>
    <w:p>
      <w:r>
        <w:t>Enfin, les photographies et attestations produites par l'intéressé ne sont pas déterminantes, dans la mesure où elles ne sont pas non plus de nature à démontrer l'existence d'une persécution ciblée contre lui pour les motifs invoqués.</w:t>
      </w:r>
    </w:p>
    <w:p>
      <w:r>
        <w:rPr>
          <w:b/>
        </w:rPr>
        <w:t>E. 3.5</w:t>
      </w:r>
    </w:p>
    <w:p>
      <w:r>
        <w:t>Il s'ensuit que le recours doit être rejeté, en tant qu'il conteste le refus de la qualité de réfugié et de l'asile.</w:t>
      </w:r>
    </w:p>
    <w:p>
      <w:r>
        <w:rPr>
          <w:b/>
        </w:rPr>
        <w:t>E. 4</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 gible et possible. Si ces conditions ne sont pas réunies, l'admission provi- soire doit être prononcée. Celle-ci est réglée par l'art. 83 LEI (RS 142.20).</w:t>
      </w:r>
    </w:p>
    <w:p>
      <w:r>
        <w:rPr>
          <w:b/>
        </w:rPr>
        <w:t>E. 6.1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6.2</w:t>
      </w:r>
    </w:p>
    <w:p>
      <w:r>
        <w:t>Dans le présent cas, l’exécution du renvoi ne contrevient pas au prin- cipe de non-refoulement de l’art. 5 LAsi. Comme exposé ci-dessus, le re- courant n’a pas établi qu’en cas de retour dans son pays d’origine, il serait exposé à de sérieux préjudices au sens de l’art. 3 LAsi.</w:t>
      </w:r>
    </w:p>
    <w:p>
      <w:r>
        <w:rPr>
          <w:b/>
        </w:rPr>
        <w:t>E. 6.3</w:t>
      </w:r>
    </w:p>
    <w:p>
      <w:r>
        <w:t>S’agissant du risque d’être soumis à la torture, à des peines ou traite- ments inhumains ou dégradants au sens de l’art. 3 CEDH, une simple pos- sibilité d’en subir ne suffit pas. Il faut au contraire que la personne qui in- voque cette disposition démontre à satisfaction qu'il existe pour elle un vé- ritable risque concret et sérieux d'être victime de traitements prohibés par le droit international public contraignant en cas de renvoi dans son pays (cf. arrêt du TAF E-6697/2016 du 10 avril 2017 consid. 7.3.1).</w:t>
      </w:r>
    </w:p>
    <w:p>
      <w:r>
        <w:t>E-5561/2020 Page 11 En l’espèce, il n’y a pas lieu de considérer qu'il existe pour le recourant un véritable risque concret et sérieux d'être victime de tortures, ou de traite- ments inhumains ou dégradants en cas de renvoi dans le nord de l’Irak, puisque les craintes qu’il allègue demeurent avant tout hypothétiques. 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w:t>
      </w:r>
    </w:p>
    <w:p>
      <w:r>
        <w:rPr>
          <w:b/>
        </w:rPr>
        <w:t>E. 7.2</w:t>
      </w:r>
    </w:p>
    <w:p>
      <w:r>
        <w:t>S’agissant du nord de l’Irak, la situation en matière de sécurité et de droits de l'homme est reconnue comme étant volatile. Le SEM constate à juste titre que les déclarations générales à ce sujet perdent rapidement leur validité. Il décrit en détail la situation dans le nord de l'Irak kurde et la juris- prudence correspondante du Tribunal administratif fédéral. Il peut être ren- voyé à ces considérations dans la décision attaquée.</w:t>
      </w:r>
    </w:p>
    <w:p>
      <w:r>
        <w:rPr>
          <w:b/>
        </w:rPr>
        <w:t>E. 7.3</w:t>
      </w:r>
    </w:p>
    <w:p>
      <w:r>
        <w:t>La situation, en ce qui concerne la liberté religieuse, reste préoccu- pante. Tant le Gouvernement fédéral d’Irak que le Gouvernement régional du Kurdistan ont cependant pris des mesures dans le but de l’améliorer. Le Premier ministre irakien Mustafa al-Kadhimi a désigné le 6 mars comme jour férié national pour la célébration de la diversité ethnique et religieuse du pays. En octobre 2021, le Premier ministre de l’ARK Masrour Barzani a reconnu Ankawa, la banlieue chrétienne d’Erbil, comme un district, lui don- nant une plus grande autonomie, y compris sur le plan de la sécurité (cf. United States Commission on International Religious Freedom. US- CIRF. Country Update : Iraq. Mars 2022, p. 4).</w:t>
      </w:r>
    </w:p>
    <w:p>
      <w:r>
        <w:t>E-5561/2020 Page 12</w:t>
      </w:r>
    </w:p>
    <w:p>
      <w:r>
        <w:rPr>
          <w:b/>
        </w:rPr>
        <w:t>E. 7.4</w:t>
      </w:r>
    </w:p>
    <w:p>
      <w:r>
        <w:t>Dans sa jurisprudence, le Tribunal a distingué la situation régnant dans les trois provinces kurdes du nord (Dohuk, Erbil et C._______) de celle du reste de l’Irak, et estimé que l’exécution du renvoi pouvait raisonnablement être exigée à destination de ces provinces, pour autant que le requérant soit originaire de l’une d’elles ou qu'il y ait vécu pendant une longue pé- riode, et qu'il y dispose d'un réseau social suffisant (cf. ATAF 2008/5 con- sid. 7.5, en particulier consid. 7.5.8). Il a confirmé cette jurisprudence dans un arrêt de référence E-3737/2015 du 14 décembre 2015 (consid. 7.4.2 et 7.4.5), dans lequel il a retenu qu’en dépit des affrontements opposant les combattants de Daesh et les Pesh- merga en Irak, l'exécution du renvoi demeurait en principe exigible pour les hommes jeunes, d'ethnie kurde, en bonne santé, originaires des provinces de Dohuk, d'Erbil, de C._______ et de la nouvelle province de Halabja, ou y ayant vécu durant une longue période et y disposant d'un réseau social (famille, parenté ou amis), ou de liens avec les partis dominants. Cette ju- risprudence reste d’actualité (cf. arrêt du TAF E-5024/2021 du 12 mai 2022 consid. 8.3.2 ; E-2472/2021 consid. 8.2 et 8.3 et les réf. cit.).</w:t>
      </w:r>
    </w:p>
    <w:p>
      <w:r>
        <w:rPr>
          <w:b/>
        </w:rPr>
        <w:t>E. 7.5</w:t>
      </w:r>
    </w:p>
    <w:p>
      <w:r>
        <w:t>En l’occurrence, le SEM a constaté à bon droit qu’aucun motif individuel ne s'opposait à l'exigibilité de l'exécution du renvoi. En effet, bien qu’origi- naire de la ville de B._______, où se trouve la maison familiale et où vivent sa mère et ses deux sœurs, le recourant, un homme jeune et sans charge de famille, a travaillé sur une longue période à C._______. Il y dispose donc d’un réseau social et professionnel et pourra certainement s’y instal- ler.</w:t>
      </w:r>
    </w:p>
    <w:p>
      <w:r>
        <w:rPr>
          <w:b/>
        </w:rPr>
        <w:t>E. 7.6</w:t>
      </w:r>
    </w:p>
    <w:p>
      <w:r>
        <w:t>Enfin, l’intéressé indique se trouver dans un état psychologique délicat depuis son arrivée en Suisse et être en mesure, si nécessaire, de produire un certificat médical pour le démontrer. En l’espèce, aucun élément au dossier ne permet de conclure à des pro- blèmes de santé qui s’opposeraient à l’exécution du renvoi. En effet, le Tribunal constate que l’intéressé a interrompu le suivi entrepris au début de l’année 2020. Ce dernier ne mentionne pas l’avoir repris depuis lors, malgré une réapparition – non attestée – des symptômes en septembre 2020. Aucun rapport médical ou document selon lequel un traitement aurait été prescrit ne figure au dossier. L’ensemble de ces éléments indique l’ab- sence d’urgence médicale. Il n’y a donc pas lieu d’attendre ou d’exiger la remise d’un certificat médical.</w:t>
      </w:r>
    </w:p>
    <w:p>
      <w:r>
        <w:t>E-5561/2020 Page 13</w:t>
      </w:r>
    </w:p>
    <w:p>
      <w:r>
        <w:rPr>
          <w:b/>
        </w:rPr>
        <w:t>E. 7.7</w:t>
      </w:r>
    </w:p>
    <w:p>
      <w:r>
        <w:t>Pour ces motifs, l'exécution du renvoi doit être considérée comme rai- sonnablement exigible.</w:t>
      </w:r>
    </w:p>
    <w:p>
      <w:r>
        <w:rPr>
          <w:b/>
        </w:rPr>
        <w:t>E. 7.10</w:t>
      </w:r>
    </w:p>
    <w:p>
      <w:r>
        <w:t>; 2011/50 consid. 8.1‒8.3).</w:t>
      </w:r>
    </w:p>
    <w:p>
      <w:r>
        <w:rPr>
          <w:b/>
        </w:rPr>
        <w:t>E. 8</w:t>
      </w:r>
    </w:p>
    <w:p>
      <w:r>
        <w:t>Enfin, le recourant est en mesure d'entreprendre toute démarche néces- saire auprès de la représentation de son pays d'origine en vue de l'obten- tion de documents de voyage lui permettant de quitter la Suisse. L'exécu- tion du renvoi ne se heurte donc pas à des obstacles insurmontables d'ordre technique et s'avère également possible (cf. art. 8 al. 4 LAsi et ATAF 2008/34 consid. 12).</w:t>
      </w:r>
    </w:p>
    <w:p>
      <w:r>
        <w:rPr>
          <w:b/>
        </w:rPr>
        <w:t>E. 9</w:t>
      </w:r>
    </w:p>
    <w:p>
      <w:r>
        <w:t>En définitive, c'est à juste titre que le SEM a ordonné l'exécution du renvoi de l’intéressé, de sorte que sur cette question également, la décision que- rellée doit être confirmée et le recours rejeté.</w:t>
      </w:r>
    </w:p>
    <w:p>
      <w:r>
        <w:rPr>
          <w:b/>
        </w:rPr>
        <w:t>E. 10</w:t>
      </w:r>
    </w:p>
    <w:p>
      <w:r>
        <w:t>Vu ce qui précède, le recours est intégralement rejeté, sans échange d'écri- tures (art. 111a al. 1 LAsi).</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il a conclu doit lui être accordée, dans la mesure où ses conclusions n'étaient pas d'emblée vouées à l'échec et qu’il est indigent (cf. art. 65 al.1 PA).</w:t>
      </w:r>
    </w:p>
    <w:p>
      <w:r>
        <w:t>(dispositif page suivante)</w:t>
      </w:r>
    </w:p>
    <w:p>
      <w:r>
        <w:t>E-5561/2020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