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E-555/2012 vom 18. November 2013</w:t>
      </w:r>
    </w:p>
    <w:p>
      <w:r>
        <w:t>Bundesverwaltungsgericht, 2013-11-18, DE</w:t>
      </w:r>
    </w:p>
    <w:p>
      <w:r>
        <w:rPr>
          <w:b/>
        </w:rPr>
        <w:t xml:space="preserve">Quelle: </w:t>
      </w:r>
      <w:r>
        <w:t>https://mcp.opencaselaw.ch/entscheid/bvger_E-555_2012</w:t>
      </w:r>
    </w:p>
    <w:p>
      <w:r>
        <w:t>FR: TAF E-555/2012 du 18 novembre 2013</w:t>
      </w:r>
    </w:p>
    <w:p>
      <w:r>
        <w:t>IT: TAF E-555/2012 del 18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5. Januar 2012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und die Sache zur vollständigen Sachverhaltsfeststellung sowie zu neuer Entscheidung an die Vorinstanz zurückzuweisen.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Die Rückweisung gilt praxisgemäss für die Frage der Auferlegung der Gerichtskosten wie auch der Parteientschädigung als vollständiges Obsiegen, unabhängig davon, ob sie überhaupt beantragt oder ob das entsprechende Begehren im Haupt- oder im Eventualantrag gestellt wird (vgl. BGE 137 V 210 E. 7.1, BGE 133 V 450 E. 13, je m.w.H.; Urteile des Bundesverwaltungsgericht E 1209/2011 vom 8. November 2011, D 4751/2009 vom 22. September 2010 sowie D 62/2010 vom 14. Januar 2010).</w:t>
      </w:r>
    </w:p>
    <w:p>
      <w:r>
        <w:rPr>
          <w:b/>
        </w:rPr>
        <w:t>E. 4.2</w:t>
      </w:r>
    </w:p>
    <w:p>
      <w:r>
        <w:t>Bei diesem Ausgang des Verfahrens sind keine Kosten zu erheben (Art. 63 Abs. 1 und 2 VwVG). Das Gesuch um Gewährung der unentgeltlichen Rechtspflege im Sinne des Art. 65 Abs. 1 VwVG ist demnach gegenstandslos geworden.</w:t>
      </w:r>
    </w:p>
    <w:p>
      <w:r>
        <w:rPr>
          <w:b/>
        </w:rPr>
        <w:t>E. 4.3</w:t>
      </w:r>
    </w:p>
    <w:p>
      <w:r>
        <w:t>Da der Beschwerdeführer nicht durch einen professionellen Rechtsvertreter vertreten ist, eine Formularbeschwerde mit lediglich dreiseitiger Ergänzung eingereicht hat, keine Parteientschädigung beantragte und aus dem vorliegenden Verfahren offensichtlich keine verhältnismässig hohen Kosten entstanden sind, ist dem Beschwerdeführer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