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E-5557/2021 vom 23. Februar 2022</w:t>
      </w:r>
    </w:p>
    <w:p>
      <w:r>
        <w:t>Bundesverwaltungsgericht, 2022-02-23, DE</w:t>
      </w:r>
    </w:p>
    <w:p>
      <w:r>
        <w:rPr>
          <w:b/>
        </w:rPr>
        <w:t xml:space="preserve">Quelle: </w:t>
      </w:r>
      <w:r>
        <w:t>https://mcp.opencaselaw.ch/entscheid/bvger_E-5557_2021</w:t>
      </w:r>
    </w:p>
    <w:p>
      <w:r>
        <w:t>FR: TAF E-5557/2021 du 23 février 2022</w:t>
      </w:r>
    </w:p>
    <w:p>
      <w:r>
        <w:t>IT: TAF E-5557/2021 del 23 febbraio 2022</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Asylge- setz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E-5557/2021 Seite 6</w:t>
      </w:r>
    </w:p>
    <w:p>
      <w:r>
        <w:rPr>
          <w:b/>
        </w:rPr>
        <w:t>E. 3</w:t>
      </w:r>
    </w:p>
    <w:p>
      <w:r>
        <w:t>Die Beschwerdeanträge in Zusammenhang mit der Beschwerdebegrün- dung richten sich einzig gegen den Vollzug der Wegweisung. Die Vernei- nung der Flüchtlingseigenschaft, die Ablehnung des Asylgesuchs sowie die verfügte Wegweisung bleiben unangefochten, womit sie in Rechtskraft erwachsen sind und nicht Gegenstand des Verfahrens bilden.</w:t>
      </w:r>
    </w:p>
    <w:p>
      <w:r>
        <w:rPr>
          <w:b/>
        </w:rPr>
        <w:t>E. 4</w:t>
      </w:r>
    </w:p>
    <w:p>
      <w:r>
        <w:t>In Bezug auf den Vollzug der Wegweisung kommt die Vorinstanz in der angefochtenen Verfügung zum Schluss, nach Treu und Glauben finde die Untersuchungspflicht der Asylbehörden hinsichtlich Zulässigkeit, Zumut- barkeit und Möglichkeit des Vollzugs ihre Grenzen an der Mitwirkungs- und Wahrheitspflicht der Gesuchsteller, die im Übrigen auch die Substantiie- rungslast tragen würden. Es sei nach ständiger Rechtsprechung des Bun- desverwaltungsgerichts nicht Aufgabe der Asylbehörden, bei fehlenden Hinweisen oder falschen Angaben seitens des Gesuchstellers näher nach allfälligen Wegweisungshindernissen zu forschen, falls dieser – wie im vor- liegenden Fall – seiner Mitwirkungspflicht bei der Sachverhaltsermittlung nicht nachkomme. Dies gelte auch für minderjährige Gesuchsteller, wie dem Urteil des Bundesverwaltungsgerichts E-88/2021 zu entnehmen sei. Beim Beschwerdeführer stehe das angegebene Geburtsdatum nicht mit Sicherheit fest. Zwar habe er ein Foto einer Geburtsurkunde eingereicht; andere Identitätsdokumente habe er indessen keine eingereicht. Zudem handle es sich bei seinem Namen um einen überaus häufig vorkommen- den Namen, habe doch die Eingabe dieses Namens innert weniger Sekun- den 530’000 Treffer auf Google angezeigt. Im Einklang mit dem Altersgut- achten könne das angegebene Alter nicht zutreffen. Vielmehr sei davon auszugehen, dass der Beschwerdeführer älter sei als angegeben und so- mit auch viel reifer sei als ein angeblich 15- beziehungsweise mittlerweile 16-Jähriger beziehungsweise bald 17-Jähriger. Würde man vom wahr- scheinlichsten Alter gemäss Altersuntersuchung ausgehen (17-jährig), werde er demnächst gar volljährig. Gemäss Aktenlage sei er zudem ein junger, gesunder Mann mit Schulbildung und Arbeitserfahrung. Auch wenn seine Eltern tatsächlich geschieden sein sollten, verfüge er mit seinem Va- ter, seiner Mutter, seiner Schwester sowie seinen Onkel über ein umfas- sendes und tragfähiges Beziehungsnetz vor Ort. Sodann sei er finanziell in der Lage gewesen, für die Reise nach Europa und innerhalb Europas mehrfach Geldbeträge in der Höhe von mehreren Hundert Euro aus den Ersparnissen seiner Familie aufzubringen. Allerdings bleibe unklar, wo sich seine Familie aktuell aufhalte. Wie die beiden Schreiben der Schweizer Vertretung vom 10. Juni 2021 und 12. Oktober 2021 zeigen würden, seien</w:t>
      </w:r>
    </w:p>
    <w:p>
      <w:r>
        <w:t>E-5557/2021 Seite 7 zwei Abklärungsversuche aufgrund der überaus vagen Angaben des Be- schwerdeführers ins Leere gelaufen. So seien weder seine Angehörigen gefunden worden noch sei in der angeblichen Wohngegend eine Familie E._______ oder F._______ bekannt. Das (…) existierte nicht. Dem habe er in seiner Stellungnahme vom 11. November 2021 entgegengehalten, er wisse nicht, ob ein solches noch existiere und habe – unter Beilage dreier Auszüge aus Google Maps – darauf bestanden, dass es das Café gebe. Dies lege zum einen den Schluss nahe, dass er seine Informationen aus Google Maps beziehe, zum anderen erstaune es, dass er nun in der Lage sei, das Café auf Google Maps zu lokalisieren, da er bis anhin in den Be- fragungen nur sehr vage, ungenaue und zudem teilweise falsche oder sich widersprechende Angaben zu seinem angeblichen Wohnort und den be- nachbarten Lokalitäten gemacht habe. Ebenso haltlos seien die Erklä- rungsversuche, wonach es der Kontaktperson nicht gelungen sei, ein aus- reichendes Vertrauensverhältnis zu den befragten Personen aufzubauen, oder die Kontaktperson habe womöglich eine falsche Taxistation aufge- sucht. Ferner sei es unglaubhaft, dass er seit Monaten keinen Kontakt mehr zu seinen Angehörigen in Algerien pflege. Vor diesem Hintergrund sei es dem SEM nicht möglich, sich genauer zur Wegweisung zu äussern. Auch wenn der Beschwerdeführer minderjährig sei, könnten von ihm kon- kretere und vor allem korrekte Angaben erwartet werden. Er habe somit das SEM mit Absicht über seine familiäre Situation getäuscht und die Fol- gen seines unglaubhaften Sachverhaltsvortrags zu tragen. Angesichts sei- ner Minderjährigkeit sei überdies darauf hinzuweisen, dass es in Algerien Kinderrechtsorganisationen wie das Réseau algérien pour la défense des droit (recte: droits) de I'enfant (NADA) und in vielen Provinzen staatliche Heime für betreute Kinder und Jugendliche gebe. Schliesslich habe der Beschwerdeführer keine Anstalten gemacht, sich in der Schweiz ein bes- seres Leben aufzubauen und seien die geltend gemachten psychischen Probleme in Algerien behandelbar.</w:t>
      </w:r>
    </w:p>
    <w:p>
      <w:r>
        <w:rPr>
          <w:b/>
        </w:rPr>
        <w:t>E. 5.1</w:t>
      </w:r>
    </w:p>
    <w:p>
      <w:r>
        <w:t>Gemäss Art. 12 VwVG stellt die Behörde den Sachverhalt von Amtes wegen fest und bedient sich nötigenfalls der gesetzlichen Beweismittel. Un- richtig ist die Sachverhaltsfeststellung, wenn der Verfügung ein falscher oder aktenwidriger Sachverhalt zugrunde gelegt wird oder Beweise falsch gewürdigt worden sind. Die Sachverhaltsdarstellung ist demgegenüber un- vollständig, wenn nicht alle für den Entscheid rechtswesentlichen Sachum- stände berücksichtigt werden (vgl. KÖLZ/HÄNER/BERTSCHI, Verwaltungs- verfahren und Verwaltungsrechtspflege des Bundes, 3. Aufl. 2013, Rz. 630).</w:t>
      </w:r>
    </w:p>
    <w:p>
      <w:r>
        <w:t>E-5557/2021 Seite 8</w:t>
      </w:r>
    </w:p>
    <w:p>
      <w:r>
        <w:rPr>
          <w:b/>
        </w:rPr>
        <w:t>E. 5.2</w:t>
      </w:r>
    </w:p>
    <w:p>
      <w:r>
        <w:t>Im Zusammenhang mit der Anordnung des Wegweisungsvollzugs von unbegleiteten Minderjährigen ist die Vorinstanz von Amtes wegen ver- pflichtet, das Kindeswohl zu berücksichtigen, zumal Kinder nicht ohne gu- ten Grund aus einem vertrauten Umfeld herausgerissen werden sollten (vgl. BVGE 2015/30 E. 7.2 und 2009/51 E. 5.6). Weiter sind bei einer all- fälligen Rückkehr ins Heimatland spezifische Abklärungen der persönli- chen Situation unter dem Blickwinkel des Kindeswohls vorzunehmen (vgl. Entscheidungen und Mitteilungen der Schweizerischen Asylrekurskommis- sion [EMARK] 1998 Nr. 13 E. 5e). Die zuständige Behörde hat gemäss Art. 69 Abs. 4 AIG vor einer Ausschaffung von unbegleiteten minderjähri- gen Personen sicherzustellen, dass diese im Rückkehrstaat einem Famili- enmitglied oder einer Aufnahmeeinrichtung übergeben werden können, die den Schutz des Kindes gewährleisten. Das SEM darf sich keinesfalls da- rauf beschränken, pauschal auf das grundsätzliche Vorliegen entsprechen- der Gegebenheiten zu verweisen (vgl. BVGE 2015/30 E. 7.3).</w:t>
      </w:r>
    </w:p>
    <w:p>
      <w:r>
        <w:rPr>
          <w:b/>
        </w:rPr>
        <w:t>E. 5.3</w:t>
      </w:r>
    </w:p>
    <w:p>
      <w:r>
        <w:t>Vorab ist festzustellen, dass es sich beim Beschwerdeführer um einen unbegleiteten minderjährigen Asylsuchenden handelt (Art. 1a Bst. d AsylV 1 [Asylverordnung 1 über Verfahrensfragen, SR 142.311]), was so von der Vorinstanz auch nicht in Zweifel gezogen wird. Zudem hat der Be- schwerdeführer anlässlich der Anhörung ein Foto einer Geburtsurkunde eingereicht. Gemäss Abklärungen der Schweizerischen Vertretung vor Ort ist diese als echt und zutreffend einzustufen (SEM-eAkten 84/1). Ferner stimmen die entsprechenden Abklärungsergebnisse mit den gemachten Angaben des Beschwerdeführers in der Erstbefragung betreffend Geburts- region, Geburtsdatum, Name des Beschwerdeführers sowie Name seiner Eltern überein (vgl. SEM-eAkten 84/1 und 20/12). Insofern unterscheidet sich dieser Sachverhalt von demjenigen im zitierten Urteil des Bundesver- waltungsgerichts E-88/2021 vom 8. Februar 2021 und geht die oberflächli- che, gesuchte und teilweise gar fehlerhafte Argumentation der Vorinstanz ins Leere (vgl. E. 4). Namentlich kann aufgrund der Aktenlage beim Be- schwerdeführer nicht pauschal von einem gesunden Mann gesprochen werden (vgl. z. B. SEM-eAkten 28/2 bzw. Beschwerdebeilage Nr. 8: Arzt- bericht vom 14. Januar 2021 betr. Medikamentenabhängigkeit und Suizi- dalität). Sodann besteht in casu kein Anlass, von der gefestigten Praxis des Gerichts abzuweichen, wonach das SEM bei unbegleiteten Minderjährigen von der Abklärungspflicht betreffend Übergabe an eine Aufnahmeeinrich- tung nicht entbunden wird. Die Abklärungspflicht des SEM wird dabei ein- zig durch die Minderjährigkeit der betreffenden Person begründet (vgl. Ur- teil des BVGer D-5411/2019 vom 20. September 2021 E. 11.5.2 [zur Pub- likation vorgesehen]). Steht – wie vorliegend – die Minderjährigkeit fest,</w:t>
      </w:r>
    </w:p>
    <w:p>
      <w:r>
        <w:t>E-5557/2021 Seite 9 kann auch eine Verletzung der Mitwirkungspflicht das SEM grundsätzlich nicht von der Verpflichtung entbinden, abzuklären, ob die unbegleitete min- derjährige Person bei einer Rückkehr eine geeignete Unterkunft in einer geeigneten Institution erhält (vgl. statt vieler a.a.O. m.w.H.). Nur in Ausnah- mefällen, in welchen das Ausmass der Mitwirkungspflichtverletzung eine Abklärung durch die Vorinstanz vollkommen verunmöglicht, da dieser jeg- liche Anhaltspunkte fehlen, kann diese Abklärungspflicht erlöschen (vgl. a.a.O.), was vorliegend jedoch nicht der Fall ist. Das SEM darf sich hierbei keinesfalls darauf beschränken – wie vorliegend geschehen – pauschal auf das Bestehen entsprechender Institutionen zu verweisen (vgl. statt vieler a.a.O., BVGE 2015/30 E. 7.3 und Urteil des BVGer E-4634/2019 vom</w:t>
      </w:r>
    </w:p>
    <w:p>
      <w:r>
        <w:rPr>
          <w:b/>
        </w:rPr>
        <w:t>E. 5.4</w:t>
      </w:r>
    </w:p>
    <w:p>
      <w:r>
        <w:t>Nach dem Gesagten hat die Vorinstanz den Sachverhalt (erneut) un- vollständig festgestellt, indem sie keine konkreten Abklärungen bezüglich die für den minderjährigen Beschwerdeführer zu erwartende Unterbrin- gung und Versorgung in Algerien getroffen hat. 6. 6.1 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t>E-5557/2021 Seite 10 6.2 Im vorliegenden Fall ist die Sache an die Vorinstanz zurückzuweisen, zumal die Erstellung des Sachverhalts weiterer Abklärungen bedarf. Angesichts der Rückweisung der Sache erübrigt sich eine Auseinanderset- zung mit den weiteren Vorbringen (namentlich zu den gesundheitlichen Be- schwerden) auf Beschwerdeebene, weil das Beschwerdedossier ebenfalls Gegenstand des wiederaufzunehmenden erstinstanzlichen Verfahrens sein und die Vorinstanz sich damit zu befassen haben wird.</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6.2</w:t>
      </w:r>
    </w:p>
    <w:p>
      <w:r>
        <w:t>Im vorliegenden Fall ist die Sache an die Vorinstanz zurückzuweisen, zumal die Erstellung des Sachverhalts weiterer Abklärungen bedarf. Angesichts der Rückweisung der Sache erübrigt sich eine Auseinandersetzung mit den weiteren Vorbringen (namentlich zu den gesundheitlichen Beschwerden) auf Beschwerdeebene, weil das Beschwerdedossier ebenfalls Gegenstand des wiederaufzunehmenden erstinstanzlichen Verfahrens sein und die Vorinstanz sich damit zu befassen haben wird.</w:t>
      </w:r>
    </w:p>
    <w:p>
      <w:r>
        <w:rPr>
          <w:b/>
        </w:rPr>
        <w:t>E. 7</w:t>
      </w:r>
    </w:p>
    <w:p>
      <w:r>
        <w:t>Die Beschwerde ist gutzuheissen und die vorinstanzliche Verfügung vom 18. November 2021 in den Dispositivziffern 4 bis 6 in Anwendung von Art. 61 Abs. 1 in fine VwVG zur vollständigen und richtigen Sachverhalts- ermittlung und Neubeurteilung im Sinne der Erwägungen an die Vorinstanz zurückzuweisen. Hiermit werden die übrigen Beschwerdebegehren gegen- standslos.</w:t>
      </w:r>
    </w:p>
    <w:p>
      <w:r>
        <w:rPr>
          <w:b/>
        </w:rPr>
        <w:t>E. 8.1</w:t>
      </w:r>
    </w:p>
    <w:p>
      <w:r>
        <w:t>Bei diesem Ausgang des Verfahrens sind keine Kosten zu erheben (Art. 63 Abs. 1 und 2 VwVG). Die Gesuche um Gewährung der unentgelt- lichen Prozessführung und Verzicht auf die Erhebung eines Kostenvor- schusses werden mit dem vorliegenden Urteil gegenstandslos.</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Rechtsvertreterin reichte zusammen mit der Beschwerde eine Kosten- note ein. Der darin ausgewiesene Aufwand von zwölf Stunden erweist sich als zu hoch und ist um drei Stunden zu kürzen. Der Stundenansatz von Fr. 200.– ist angesichts des Ausgangs des Verfahrens indessen nicht zu beanstanden (vgl. Art. 10 Abs. 2 VGKE). Die separat ausgewiesenen Spe- sen von Fr. 37.– sind ebenfalls zu ersetzen. Die von der Vorinstanz auszu- richtende Parteientschädigung ist somit auf insgesamt Fr. 1'837.– (inkl. Auslagen) festzusetzen. Der Antrag auf amtliche Rechtsverbeiständung wird hiermit gegenstandslos. (Dispositiv nächste Seite)</w:t>
      </w:r>
    </w:p>
    <w:p>
      <w:r>
        <w:t>E-5557/2021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