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E-5554/2014 vom 8. Oktober 2014</w:t>
      </w:r>
    </w:p>
    <w:p>
      <w:r>
        <w:t>Bundesverwaltungsgericht, 2014-10-08, DE</w:t>
      </w:r>
    </w:p>
    <w:p>
      <w:r>
        <w:rPr>
          <w:b/>
        </w:rPr>
        <w:t xml:space="preserve">Quelle: </w:t>
      </w:r>
      <w:r>
        <w:t>https://mcp.opencaselaw.ch/entscheid/bvger_E-5554_2014</w:t>
      </w:r>
    </w:p>
    <w:p>
      <w:r>
        <w:t>FR: TAF E-5554/2014 du 8 octobre 2014</w:t>
      </w:r>
    </w:p>
    <w:p>
      <w:r>
        <w:t>IT: TAF E-5554/2014 del 8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des Beschwerdeführers hielten den Anforderungen an das Glaubhaftmachen gemäss Art. 7 AsylG nicht stand. Seine Schilderungen seien widersprüchlich, unsubstantiiert, vage, stereotyp und nicht nachvollziehbar. Er sei nicht in der Lage, seine Motivation für die Durchführung der Plakataktion überzeugend darzulegen, was in Anbetracht des damit verbundenen Risikos von ihm jedoch ohne weiteres hätte erwartet werden dürfen. Weiter habe er sich bezüglich der Herstellung der Plakate unvereinbar sowie bezüglich deren Aufbewahrung unsubstantiiert geäussert. Auch würden die Handlungen während der Durchführung der Plakataktion jeglicher Logik widersprechen. Der Beschwerdeführer zeichne von sich ein Bild einer äusserst vorsichtig und bedacht handelnden Person. Gleichzeitig mache er geltend, von der Präsenz eines Wachmannes gewusst zu haben. Vor diesem Hintergrund sei nicht nachvollziehbar, weshalb er die Aktion dennoch durchgeführt habe. Ebenfalls nicht verständlich sei, wie der Wachmann den Beschwerdeführer hätte identifizieren können, zumal es dunkel gewesen sei und der Wachmann ihn nicht gekannt habe. Ferner seien die Angaben zum Aufenthalt beim Vater und später bei dessen Freund, zum Vorsprechen der Polizei bei der Tante sowie zur Kontaktaufnahme zwischen der Tante, dem Schlepper und dem Beschwerdeführer unsubstantiiert und detailarm ausgefallen. Sodann habe er sich äusserst limitiert und widersprüchlich zur Ausreise, insbesondere dem Grenzübertritt geäussert. Weiter sei der Beschwerdeführer nicht in der Lage gewesen anzugeben, ob es sich bei C._______ um eine Ortschaft oder eine Region handle. In Anbetracht dessen, dass der Beschwerdeführer dort seine Kindheit verbracht habe, erstaune dies sehr. Es könne davon ausgegangen werden, dass ein in Tibet sozialisierter Tibeter wisse, dass es sich dabei um eine Provinz und nicht einen Ort handle. Auch habe der Beschwerdeführer sich tatsachenwidrig und unvereinbar zu seiner Identitätskarte und deren Erhalt geäussert. Weiter sei nicht glaubhaft, dass der Beschwerdeführer die Schule aufgrund der ärmlichen Verhältnisse der Familie nur während eines Jahres habe besuchen können. Die Grundschule sei obligatorisch und kostenlos. Schliesslich sei auch das geographische Wissen über den angeblichen Heimatstaat äusserst pauschal und oberflächlich. In Anbetracht dessen, dass der Beschwerdeführer an verschiedenen Orten gelebt habe, könnte diesbezüglich ein umfassenderes Wissen erwartet werden. Insgesamt würden die länderspezifischen Antworten nicht zu überzeugen vermögen und es dränge sich der Verdacht auf, dass der Beschwerdeführer geographische Aussagen gelernt habe, um den Eindruck zu erwecken, er stamme aus dieser Gegend. Obwohl er unbestrittenermassen tibetischer Ethnie sei, würden die mangelhaften Länderkenntnisse, die fehlenden chinesischen Sprachkenntnisse, die fehlenden Identitätspapiere sowie die unglaubhaft vorgetragenen Asylgründe darauf schliessen lassen, dass er nicht in der angegebenen Region sozialisiert worden sei. Es sei daher davon auszugehen, dass er vor der Ankunft in der Schweiz nicht in der Volksrepublik China, sondern in der exiltibetischen Diaspora gelebt habe. Da er keine konkreten und glaubhaften Hinweise auf einen längeren Aufenthalt in einem Drittstaat geliefert habe, sei zu schliessen, dass keine flüchtlings- oder wegweisungsbeachtlichen Gründe gegen eine Rückkehr an den bisherigen Aufenthaltsort bestehen würden.</w:t>
      </w:r>
    </w:p>
    <w:p>
      <w:r>
        <w:rPr>
          <w:b/>
        </w:rPr>
        <w:t>E. 4.2</w:t>
      </w:r>
    </w:p>
    <w:p>
      <w:r>
        <w:t>Mit der Rechtsmitteleingabe reicht der Beschwerdeführer einen Ausweis ein und führt aus, der Vater seiner Freundin habe diesen bei seiner Tante ausfindig machen können. Seine Tante könne weitere Dokumente nachsenden, die belegen würden, dass er aus dem Tibet komme. Sinngemäss macht der Beschwerdeführer damit geltend, die Vorinstanz habe zu Unrecht geschlossen, er stamme nicht aus dem Tibet, womit es den Grundsatz des Glaubhaftmachens nicht richtig angewendet und damit Bundesrecht verletzt habe.</w:t>
      </w:r>
    </w:p>
    <w:p>
      <w:r>
        <w:rPr>
          <w:b/>
        </w:rPr>
        <w:t>E. 4.3</w:t>
      </w:r>
    </w:p>
    <w:p>
      <w:r>
        <w:t>Die vorinstanzliche Beweiswürdigung ist indes nicht zu beanstanden. In der angefochtenen Verfügung hat die Vorinstanz ausführlich dargelegt, aus welchen Gründen, nämlich mangelnder Länder- beziehungsweise Regionalkenntnisse, fehlender Kenntnisse der chinesischen Sprache, fehlender Identitätspapiere sowie unglaubhaft vorgetragener Asylgründen davon auszugehen sei, der Beschwerdeführer sei nicht in der von ihm angegebenen Region sozialisiert worden. In der Rechtsmitteleingabe äussert sich der Beschwerdeführer zu den von der Vorinstanz im Einzelnen ausführlich dargelegten Unstimmigkeitselementen nicht. Mit der Beschwerdeeingabe hat er einzigen einen Ausweis eingereicht, allerdings lediglich in Kopie. Dieser ist indes nicht zu entnehmen, um was für einen Ausweis es sich dabei handeln soll. Sodann unterlässt es der Beschwerdeführer in der Eingabe auch nur schon ansatzweise darzutun, um was für Identitätsausweis es sich dabei handeln soll. Einzig spricht er vom Ausweis. Weiter unterlässt er es auch darzulegen, wie er konkret vorgegangen ist, um in den Besitz des Dokumentes zu gelangen, nachdem er gemäss seinen eigenen Angaben nicht mehr über sein Handy und damit auch über keine einzige Telefonnummer mehr verfüge. Solches hätte von ihm jedoch ohne weiteres erwartet werden dürfen. Es liegt somit nach wie vor kein gültiges Identitätspapiere vor. Der Beschwerdeführer beantragt die Ansetzung einer Frist zur Einreichung weiterer Dokumente, um seine Herkunft aus dem Tibet zu belegen. Bereits anlässlich des Eintritts in das Empfangs- und Verfahrenszentrum am 18. September 2012 und später bei der Befragung zur Person wurde der Beschwerdeführer aufgefordert, seine Identität und Herkunft zu belegen. Seither sind rund zwei Jahre vergangen. Damit hat dem Beschwerdeführer im Rahmen seiner Mitwirkungspflicht (Art. 8 AsylG) hinreichend Zeit zur Verfügung gestanden, Beweismittel zu seiner Herkunft und Identität zu beschaffen und einzureichen. Dass er sein Handy dem Schlepper habe abgeben müssen, deshalb keine Telefonnummern seiner Angehörigen mehr habe und keine einzige dieser Nummern auswendig könne, ist eine durch nichts belegte Behauptung, welche darüber hinaus auch der allgemeinen Lebenserfahrung widerspricht. Bei dieser Sachlage besteht keine Veranlassung, dem Beschwerdeführer Frist für die Einreichung weiterer Unterlagen und einer Beschwerdeverbesserung anzusetzen. Die beiden Anträge sind abzuweisen. Weitergehend legt der Beschwerdeführer mit dem blossen Behaupten, er sei in Tibet geboren und aufgewachsen und dem sinngemässen Festhalten am Wahrheitsgehalt seiner Vorbringen, nicht substantiiert dar, inwiefern die Vorinstanz zu Unrecht insgesamt auf Unglaubhaftigkeit geschlossen hat. Um diesbezüglich Wiederholungen zu vermeiden, kann vollumfänglich auf die ausführlichen und zutreffenden Erwägungen in der angefochtenen Verfügung verwiesen werden. Die erhobene Rüge erweist sich als unzutreffend.</w:t>
      </w:r>
    </w:p>
    <w:p>
      <w:r>
        <w:rPr>
          <w:b/>
        </w:rPr>
        <w:t>E. 4.4</w:t>
      </w:r>
    </w:p>
    <w:p>
      <w:r>
        <w:t>Dem Beschwerdeführer ist es somit nicht gelungen, den vorinstanzlichen Schluss, er sei nicht in der von ihm angegebenen Region sozialisiert worden, in Frage zu stellen. Mit der Vorinstanz ist daher mit überwiegender Wahrscheinlichkeit davon auszugehen, er habe vor seiner Ankunft in der Schweiz nicht in der Volksrepublik China, sondern in der exiltibetischen Diaspora gelebt. Namhafte exiltibetische Gemeinschaften gibt es - nebst der Schweiz und Nordamerika - lediglich in Indien und Nepal.</w:t>
      </w:r>
    </w:p>
    <w:p>
      <w:r>
        <w:rPr>
          <w:b/>
        </w:rPr>
        <w:t>E. 4.5</w:t>
      </w:r>
    </w:p>
    <w:p>
      <w:r>
        <w:t>Insgesamt hat der Beschwerdeführer somit nichts vorgebracht, das geeignet wäre, einen Fluchtgrund in Bezug auf die Volksrepublik China nachzuweisen oder zumindest glaubhaft zu machen. Die Vorinstanz hat das Asylgesuch demnach zu Recht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5 des Dispositivs der angefochtenen Verfügung).</w:t>
      </w:r>
    </w:p>
    <w:p>
      <w:r>
        <w:rPr>
          <w:b/>
        </w:rPr>
        <w:t>E. 6.2</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sinngemäss die Gewährung der unentgeltlichen Rechtspflege gemäss Art. 65 Abs. 1 und 2 VwVG. Aufgrund der vorstehenden Erwägungen ergibt sich, dass sein Begehren als aussichtslos zu gelten hat. Damit ist eine der kumulativ zu erfüllenden Voraussetzungen nicht gegeben, weshalb den Gesuchen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