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E-554/2015 vom 6. März 2015</w:t>
      </w:r>
    </w:p>
    <w:p>
      <w:r>
        <w:t>Bundesverwaltungsgericht, 2015-03-06, DE</w:t>
      </w:r>
    </w:p>
    <w:p>
      <w:r>
        <w:rPr>
          <w:b/>
        </w:rPr>
        <w:t xml:space="preserve">Quelle: </w:t>
      </w:r>
      <w:r>
        <w:t>https://mcp.opencaselaw.ch/entscheid/bvger_E-554_2015</w:t>
      </w:r>
    </w:p>
    <w:p>
      <w:r>
        <w:t>FR: TAF E-554/2015 du 6 mars 2015</w:t>
      </w:r>
    </w:p>
    <w:p>
      <w:r>
        <w:t>IT: TAF E-554/2015 del 6 marzo 2015</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In den vorinstanzlichen Akten ist nur eine Empfangsbestätigung in Bezug auf die Verfügung betreffend den Beschwerdeführer auffindbar. Bezüglich die Nichteintretensverfügung ist nicht ersichtlich, wann diese dem Beschwerdeführer zugestellt wurde. Beide Verfügungen enthalten allerdings den Ausgangsstempel vom 28. November 2014. Zwar ist mit grosser Wahrscheinlichkeit davon auszugehen, dass die beiden Verfügungen entsprechend gleichzeitig dem Beschwerdeführer ausgehändigt wurden; die Beweislast für die erfolgte Zustellung und deren Zeitpunkt trägt allerdings die Behörde, welche die Zustellung veranlasst hat (vgl. Felix Uhlmann / Alexandra Schwank, in: Waldmann / Weissenberger [Hrsg.], Praxiskommentar VwVG, Zürich/Basel/Genf 2009, Art. 34 N 10). Demzufolge wäre angesichts der Umstände zu Gunsten des Beschwerdeführers bzw. seiner Ehefrau grundsätzlich von der Rechtzeitigkeit der Beschwerde auch betreffend die Nichteintretensverfügung auszugehen. Letztlich kann die Frage aber schon deshalb offenbleiben, weil alleine aus dem Umstand, dass die Ehefrau die Beschwerdeschrift unterschrieben hat (wobei ihr die Unterschrift ohnehin nicht eindeutig zugeordnet werden kann) noch nicht auf ihren Willen, Beschwerde zu führen, geschlossen werden kann. Eine Nachinstruktion erübrigt sich aber aus den unter E. 8 dargelegten Gründen.</w:t>
      </w:r>
    </w:p>
    <w:p>
      <w:r>
        <w:rPr>
          <w:b/>
        </w:rPr>
        <w:t>E. 1.3</w:t>
      </w:r>
    </w:p>
    <w:p>
      <w:r>
        <w:t>Die Beschwerde wurde in englischer Sprache und somit nicht in einer Amtssprache des Bundes abgefasst. Auf die Ansetzung einer Frist zur Beschwerdeverbesserung oder auf die Einholung einer Übersetzung kann indessen aus prozessökonomischen Gründen praxisgemäss verzichtet werden, zumal der Eingabe des Beschwerdeführers genügend klare, sinngemässe Rechtsbegehren sowie deren Begründung zu entnehmen sind und ohne Weiteres darüber befunden werden kann.</w:t>
      </w:r>
    </w:p>
    <w:p>
      <w:r>
        <w:rPr>
          <w:b/>
        </w:rPr>
        <w:t>E. 1.4</w:t>
      </w:r>
    </w:p>
    <w:p>
      <w:r>
        <w:t>Die Beschwerde ist nach dem Gesagten frist- und in der Form akzeptiert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nach dem Gesagten einzutreten.</w:t>
      </w:r>
    </w:p>
    <w:p>
      <w:r>
        <w:rPr>
          <w:b/>
        </w:rPr>
        <w:t>E. 2</w:t>
      </w:r>
    </w:p>
    <w:p>
      <w:r>
        <w:t>Gestützt auf Art. 33a Abs. 2 VwVG i.V.m. Art. 6 AsylG ergeht der vorliegende Entscheid in deutscher Sprache.</w:t>
      </w:r>
    </w:p>
    <w:p>
      <w:r>
        <w:rPr>
          <w:b/>
        </w:rPr>
        <w:t>E. 3</w:t>
      </w:r>
    </w:p>
    <w:p>
      <w:r>
        <w:t>Im Asylbereich richtet sich die Kognition und die Rügemöglichkeiten nach Art. 106 Abs. 1 AsylG; (zur Frage der Auswirkung der Streichung von Art. 106 Abs.1 Bst. a aAsylG [Beschwerdegrund der Unangemessenheit] auf das Beschwerdeverfahren in Ausland-Asylverfahren, vgl. Urteil des Bundesverwaltungsgerichts D-103/2014 vom 21. Januar 2015, E. 4 ff. [zur Publikation vorgesehen]).</w:t>
      </w:r>
    </w:p>
    <w:p>
      <w:r>
        <w:rPr>
          <w:b/>
        </w:rPr>
        <w:t>E. 4</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w:t>
      </w:r>
    </w:p>
    <w:p>
      <w:r>
        <w:t>Das vorliegende Verfahren ergeht gestützt auf die Übergangsbestimmung zur Änderung des Asylgesetzes vom 28. September 2012 (von der Bundesversammlung als dringlich erklärt und am 29. September 2012 in Kraft getreten), wonach für Asylgesuche, die im Ausland vor dem Inkrafttreten der Änderung vom 28. September 2012 gestellt worden sind, die Artikel 12, 19, 20, 41 Abs. 2, 52 und 68 AsylG in der bisherigen Fassung des Asylgesetzes Geltung haben.</w:t>
      </w:r>
    </w:p>
    <w:p>
      <w:r>
        <w:rPr>
          <w:b/>
        </w:rPr>
        <w:t>E. 6.1</w:t>
      </w:r>
    </w:p>
    <w:p>
      <w:r>
        <w:t>Ein Asylgesuch kann gemäss aArt. 19 AsylG im Ausland bei einer schweizerischen Vertretung gestellt werden, die es mit einem Bericht an das Bundesamt überweist (aArt. 20 Abs. 1 AsylG); das Gesuch kann auch direkt beim BFM eingereicht werden (vgl. BVGE 2007/19 E. 3.3; zum Verfahren vgl. D-103/2014, E. 3).</w:t>
      </w:r>
    </w:p>
    <w:p>
      <w:r>
        <w:rPr>
          <w:b/>
        </w:rPr>
        <w:t>E. 6.2</w:t>
      </w:r>
    </w:p>
    <w:p>
      <w:r>
        <w:t>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6.3</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6.4</w:t>
      </w:r>
    </w:p>
    <w:p>
      <w:r>
        <w:t>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und objektive Zumutbarkeit einer anderweitigen Schutzsuche sowie die voraussichtlichen Eingliederungs- und Assimilationsmöglichkeiten in Betracht zu ziehen. Ausschlaggebend für die Erteilung der Einreisebewilligung ist die Schutzbedürftigkeit der betreffenden Person, mithin die Prüfung der Fragen, ob eine Gefährdung im Sinn von Art. 3 AsylG glaubhaft gemacht wird und ob ihr der Verbleib am Aufenthaltsort für die Dauer der Sachverhaltsabklärung zugemutet werden kann (vgl. BGVE 2011/10 E. 3.3 S. 126).</w:t>
      </w:r>
    </w:p>
    <w:p>
      <w:r>
        <w:rPr>
          <w:b/>
        </w:rPr>
        <w:t>E. 6.5</w:t>
      </w:r>
    </w:p>
    <w:p>
      <w:r>
        <w:t>Hält sich die Person, die ein Asylgesuch aus dem Ausland gestellt hat, in einem Drittstaat auf, ist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sowohl in Bezug auf die Schutzgewährung durch den Drittstaat (vgl.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D-103/2014, E. 7.1, BVGE 2011/10 E. 5.1, EMARK 2004 Nr. 21 E. 4b.aa S. 139 f.).</w:t>
      </w:r>
    </w:p>
    <w:p>
      <w:r>
        <w:rPr>
          <w:b/>
        </w:rPr>
        <w:t>E. 7.1</w:t>
      </w:r>
    </w:p>
    <w:p>
      <w:r>
        <w:t>Vorliegend geht das SEM in seiner Verfügung davon aus, dass der Beschwerdeführer aufgrund in seinem Heimatstaat Eritrea Schwierigkeiten mit den heimatlichen Behörden gehabt hat. Ob er bei einer allfälligen Rückkehr nach Eritrea einer flüchtlingsrechtlich relevanten Gefährdung ausgesetzt sein könnte, kann vorliegend dennoch offengelassen werden, da es ihm im Ergebnis, wie das SEM richtig ausführt, gemäss Art. 52 Abs. 2 aAsylG zugemutet werden kann, im Sudan zu verbleiben und damit den Schutz der Schweiz nicht benötigt.</w:t>
      </w:r>
    </w:p>
    <w:p>
      <w:r>
        <w:rPr>
          <w:b/>
        </w:rPr>
        <w:t>E. 7.2</w:t>
      </w:r>
    </w:p>
    <w:p>
      <w:r>
        <w:t>Der Beschwerdeführer hält sich gegenwärtig in einem Drittstaat - dem Sudan­ - auf. Wie bereits das SEM festhält, ist die dortige Situation für eritreische Flüchtlinge generell nicht einfach. Dennoch bestehen im vorliegenden Verfahren keine konkreten Anhaltspunkte für die Annahme, dass ein weiterer Verbleib im Sudan nicht zumutbar oder nicht möglich ist. Die vom UNHCR registrierten Flüchtlinge sind grundsätzlich gehalten, sich in einem UNHCR-Flüchtlingslager aufzuhalten und verfügen im Sudan nicht über ein freies Aufenthaltsrecht. Auch die Ausübung einer Arbeit ist in aller Regel nur mittels entsprechender Bewilligung möglich (US Department of State, Country Reports on Human Rights Practices for 2012: Sudan, gefunden auf http://www.state.gov/j/drl/rls/hrrpt/2012human rightsreport/index.htm?year=2012&amp;dlid=204171#wrapper [zuletzt besucht am 28. Januar 2015]). Viele anerkannte eritreische Flüchtlinge halten sich nicht in Flüchtlingslagern, sondern illegal in B._______ auf, wo sie versuchen, einer Arbeit nachzugehen. In der Vergangenheit kam es dort in vereinzelten Fällen zu Entführungen von eritreischen Flüchtlingen beziehungsweise zu Deportationen von eritreischen Flüchtlingen nach Eritrea. Gemäss gesicherten Erkenntnissen ist das Risiko einer Deportation oder Verschleppung für Eritreer und Eritreerinnen, die im Sudan vom UNHCR als Flüchtlinge anerkannt sind, jedoch eher gering, da die sudanesischen Behörden zwar teilweise eritreische Asylsuchende sowie Flüchtlinge deportieren, diese Rückführungen indessen nicht flächendeckend erfolgen (vgl. insb. Urteile des Gerichts D-103/2014 E. 7.4; D-6478/2013 vom 24. Dezember 2013 E. 5.3; E-1452/2012 vom 15. Juni 2012 mit weiteren Hinweisen sowie UNHCR, "UNHCR deeply concerned by deportation of Eritreans from Sudan" vom 26. Juli 2011).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Gleiches gilt für Bestre­bungen hinsichtlich der Sicherheit in den Flüchtlingscamps (vgl. dazu insbe­sondere die Mitteilung des UNHCR vom 25. Januar 2013; "UNHCR concern at refugee kidnappings, disappearences in eastern Sudan"). Im vorliegenden Fall bestehen keine konkreten Hinweise auf eine drohende Deportation des Beschwerdeführers. So befindet sich der Beschwerdeführer bereits seit über 13 Jahren im Sudan, ohne von den sudanesischen Behörden diesbezüglich behelligt worden zu sein. Zwar führt der Beschwerdeführer aus, eritreische Flüchtlinge würden entführt, die Vorbringen bleiben aber allgemein und unsubstanziiert.</w:t>
      </w:r>
    </w:p>
    <w:p>
      <w:r>
        <w:rPr>
          <w:b/>
        </w:rPr>
        <w:t>E. 7.3</w:t>
      </w:r>
    </w:p>
    <w:p>
      <w:r>
        <w:t>Das SEM hat sodann zutreffend ausgeführt, dass sich aus der schwierigen Lebenssituation des Beschwerdeführers keine einreise-relevante akute Gefährdung ableiten lässt. So ergibt sich aus seinen Angaben immerhin, dass er und seine Familie über eine Unterkunft verfügen, er und seine Frau Gelegenheitsarbeiten ausführen können und das Kind Zugang zu einer Schulbildung hat. Sodann ist in diesem Zusammenhang auf die grosse eritreische Gemeinschaft in B._______ und die diesbezüglich vereinfachte Eingliederung sowie mögliche Unterstützung zu verweisen. Sollten die finanziellen Mittel zur Deckung ihres Existenzbedarfs nicht genügen, könnte sich der Beschwerdeführer und seine Familie einer allfälligen Versorgungsnotlage dadurch entgehen, dass sie sich erneut an das UNHCR wenden und sich einem Flüchtlingslager zuteilen lassen würden. Auch wenn anerkanntermassen die Situation in den Lagern teils prekär ist, kann dennoch davon ausgegangen werden, dass zumindest die Grundversorgung dort gewährleistet ist. Schliesslich hat das SEM zu Recht festgestellt, dass der Beschwerdeführer ausser einem Bekannten über keine besondere Beziehungsnähe zur Schweiz verfügt.</w:t>
      </w:r>
    </w:p>
    <w:p>
      <w:r>
        <w:rPr>
          <w:b/>
        </w:rPr>
        <w:t>E. 7.4</w:t>
      </w:r>
    </w:p>
    <w:p>
      <w:r>
        <w:t>Aufgrund dieser Erwägungen erscheint es für den Beschwerdefüh­rer objektiv zumutbar, den im Sudan gegenüber einer allfälligen Verfolgungsgefahr in seinem Heimatstaat Eritrea bestehenden Schutz weiterhin in Anspruch zu nehmen. Eine Schutzgewährung durch die Schweiz er­scheint somit unter Berücksichtigung aller wesentlichen Umstände, wel­che mit dem Aufenthalt des Beschwerdeführers im Sudan und seinem dortigen Status als registrierter Flüchtling verbunden sind, nicht erforderlich. Zusammenfassend ergibt sich, dass das SEM zu Recht und mit zutreffender Begründung feststellte, eine Abwägung der Gesamtumstände im Sinne von Art. 52 Abs. 2 AsylG führe zum Schluss, dass dem Beschwerdeführer ein Verbleib im Sudan zuzumuten ist. Unter diesen Umständen hat das Bundesamt zu Recht die Erteilung der Einreisebewilligung verweigert und das Asylgesuch abgelehnt.</w:t>
      </w:r>
    </w:p>
    <w:p>
      <w:r>
        <w:rPr>
          <w:b/>
        </w:rPr>
        <w:t>E. 8</w:t>
      </w:r>
    </w:p>
    <w:p>
      <w:r>
        <w:t>In Bezug auf die Ehefrau und den urteilsfähigen Sohn kann ergänzend festgehalten werden, dass das SEM zutreffend festgestellt hat, dass keine persönlichen Willenserklärungen vorliegen. Dieser Mangel lässt sich mit der Unterschrift der Ehefrau auf Beschwerdestufe nicht beheben, da sie gemäss langjähriger asylrechtlicher Gerichtspraxis im erstinstanzlichen Verfahren persönlich in Erscheinung hätte treten müssen (vgl. BVGE 2011/39 E. 4.3 m.w.H.), dies aber trotz entsprechender Aufforderung seitens des SEM unterliess. Dasselbe gilt für den urteilsfähigen Sohn, welcher sich bis zum Beschwerdeverfahren in keiner Weise persönlich geäussert hat.</w:t>
      </w:r>
    </w:p>
    <w:p>
      <w:r>
        <w:rPr>
          <w:b/>
        </w:rPr>
        <w:t>E. 9</w:t>
      </w:r>
    </w:p>
    <w:p>
      <w:r>
        <w:t>Aus dem Gesagten ergibt sich, dass sich die angefochtene Verfügung als rechtmässig erweist und die Beschwerde demnach abzuweisen ist.</w:t>
      </w:r>
    </w:p>
    <w:p>
      <w:r>
        <w:rPr>
          <w:b/>
        </w:rPr>
        <w:t>E. 10</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