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E-5548/2009 vom 15. Januar 2010</w:t>
      </w:r>
    </w:p>
    <w:p>
      <w:r>
        <w:t>Bundesverwaltungsgericht, 2010-01-15, DE</w:t>
      </w:r>
    </w:p>
    <w:p>
      <w:r>
        <w:rPr>
          <w:b/>
        </w:rPr>
        <w:t xml:space="preserve">Quelle: </w:t>
      </w:r>
      <w:r>
        <w:t>https://mcp.opencaselaw.ch/entscheid/bvger_E-5548_2009</w:t>
      </w:r>
    </w:p>
    <w:p>
      <w:r>
        <w:t>FR: TAF E-5548/2009 du 15 janvier 2010</w:t>
      </w:r>
    </w:p>
    <w:p>
      <w:r>
        <w:t>IT: TAF E-5548/2009 del 15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Vorliegend handelt es sich um eine solche, wie in den folgenden Erwägungen aufzuzeigen ist. Der Beschwerdeentscheid ist deshalb nur summarisch zu begründen (Art. 111a Abs. 2 AsylG). Gestützt auf Art. 111a Abs. 1 AsylG wurde auf einen Schriftenwechsel verzichtet.</w:t>
      </w:r>
    </w:p>
    <w:p>
      <w:r>
        <w:rPr>
          <w:b/>
        </w:rPr>
        <w:t>E. 4.1</w:t>
      </w:r>
    </w:p>
    <w:p>
      <w:r>
        <w:t>Gemäss Art. 2 Abs. 1 AsylG gewährt die Schweiz Flüchtlingen grundsätzlich Asyl.</w:t>
      </w:r>
    </w:p>
    <w:p>
      <w:r>
        <w:rPr>
          <w:b/>
        </w:rPr>
        <w:t>E. 4.2</w:t>
      </w:r>
    </w:p>
    <w:p>
      <w:r>
        <w:t>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4.3</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E.5.2 f.; BVGE 2008/4 E. 5; und die vom Bundesverwaltungsgericht fortgeführte Rechtsprechung der ARK in Entscheidungen und Mitteilungen der Schweizerischen Asylrekurskommission [EMARK] 1995 Nr. 2 E. 3a, EMARK 2006 Nr. 18 E. 7-10, EMARK 2006 Nr. 32 E. 8.7).</w:t>
      </w:r>
    </w:p>
    <w:p>
      <w:r>
        <w:rPr>
          <w:b/>
        </w:rPr>
        <w:t>E. 5.1</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EMARK 2005 Nr. 21 E. 6.1 mit weiteren Hinweisen).</w:t>
      </w:r>
    </w:p>
    <w:p>
      <w:r>
        <w:rPr>
          <w:b/>
        </w:rPr>
        <w:t>E. 6</w:t>
      </w:r>
    </w:p>
    <w:p>
      <w:r>
        <w:t>Das BFM ist zu Recht zum Schluss gekommen, wesentliche Vorbringen des Beschwerdeführers zu seinen Asylgründen seien unglaubhaft. Dies trifft namentlich zu für die geltend gemachten Ereignisse rund um die Kommunalwahlen vom Frühjahr 2009, die schliesslich zu seiner Ausreise geführt haben sollen. Um Wiederholungen zu vermeiden, kann auf die ausführlichen entsprechenden Erwägungen in der vorinstanzlichen Verfügung verwiesen werden (E. 1 und 5). Die Einwände in der Beschwerde vermögen nichts zu Gunsten des Beschwerdeführers zu bewirken, zumals es sich beim Argument des BFM, er habe den Namen des Kommandanten, der ihn mit dem Tode bedroht habe, nicht gewusst und es sei nicht nachvollziehbar, dass über die Vorfälle vom 29. März 2009 in der Presse nicht berichtet worden sei, nur um eines von vielen Unglaubhaftigkeitselementen handelt. Demgegenüber setzt der Beschwerdeführer etwa der unter Erwägung 5 aufgezeigten krassen Unstimmigkeit bezüglich der Frage, wann er letztmals auf einem Polizeiposten - und auf welchem - gewesen sei, in der Rechtsmitteleingabe gar nichts entgegen. Auch dem stichhaltigen Argument des BFM, die türkischen Sicherheitsbehörden wären bei einem ernsthaften Interesse an ihm zweifellos anders als in der von ihm umschriebenen Weise gegen ihn vorgegangen, vermag der Beschwerdeführer nichts Entscheidendes entgegenzusetzen. Schliesslich verweist die Vorinstanz zu Recht darauf, dass allfällige Schikanen seitens der türkischen Behörden, denen die kurdische Bevölkerung in den östlichen Gebieten der Türkei bekannterweise ausgesetzt waren und sind, aufgrund der mangelnden Intensität nicht als ernsthafte Nachteile zu qualifizieren sind. Zutreffend ist auch der Hinweis auf die zur Verfügung stehende innerstaatliche Fluchtalternative. Durch ein Ausweichen in ein anderes Gebiet der Türkei, etwa nach Istanbul, wohin er über längere Zeit hinweg regelmässig im Rahmen seiner geschäftlichen Tätigkeit gereist sei, könnte er sich im Übrigen auch den seitens von Privatpersonen geltend gemachten Bedrohungen entziehen. Die auf Beschwerdestufe eingereichten Beweismittel, welche sich im Wesentlichen zur allgemeinen Menschenrechtslage in der Türkei äussern, welche bekanntlich in manchen Bereichen unbefriedigend ist, und den Beschwerdeführer - auch insoweit es um DTP-Mitglieder geht - nicht direkt betreffen, vermögen nichts zu bewirken. Dasselbe gilt im Übrigen für den Umstand, dass inzwischen auch die DTP, wie zuvor ihre Vorgängerparteien, in der Türkei verboten worden ist. Schliesslich ergibt sich auch nichts Anderes aus dem Umstand, dass zwei Cousins des Beschwerdeführers in Frankreich als Flüchtlinge anerkannt worden seien. Es erübrigt sich, auf die weiteren Vorbringen des Beschwerdeführers einzugehen, da sie an der vorgenommenen Würdigung nichts zu ändern vermögen. Ergänzend kann auf die ausführlichen und zutreffenden Erwägungen in der angefochtenen Verfügung sowie jene in der Zwischenverfügung des Bundesverwaltungsgerichts vom 17. September 2009 verwiesen werden. Zusammenfassend kommt das Gericht, wie bereits die Vorinstanz, zum Schluss, die Vorbringen des Beschwerdeführers seien in wesentlichen Punkten unglaubhaft. Allfällige erlittene oder drohende Belästigungen und Schikanen seitens der türkischen Behörden oder aufgrund seiner ethnischen Zugehörigkeit und einem gewissen Engagement für die kurdischen Interessen sind mangels Intensität nicht asylrelevant. Ausserdem vermag er sich ihnen, ebenso wie solchen seitens verschiedener Privatpersonen, durch einen Wechsel seines Aufenthaltsortes innerhalb der Türkei zu entziehen. Weder aus dem Umstand, dass zwei seiner Cousins in Frankreich als Flüchtlinge anerkannt worden sein sollen, noch aus den eingereichten Internetauszügen vermag er etwas zu seinen Gunsten abzuleiten. Nach dem Gesagten ist es dem Beschwerdeführer nicht gelungen, eine asylrelevante Verfolgung im Sinne von Art. 3 AsylG darzutun. Die Vorinstanz hat demzufolge die Anerkennung der Flüchtlingseigenschaft und die Gewährung von Asyl zu Recht verweigert.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(Art. 32 Bst. a der Asylverordnung 1 vom 11. August 1999 über Verfahrensfragen [AsylV 1, SR 142.311]) noch über einen Anspruch auf Erteilung einer solchen. Die Wegweisung wurde demnach zu Recht angeordnet.</w:t>
      </w:r>
    </w:p>
    <w:p>
      <w:r>
        <w:rPr>
          <w:b/>
        </w:rPr>
        <w:t>E. 7.3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Der flüchtlingsrechtliche Grundsatz der Nichtrückschiebung schützt nur Personen, die die Flüchtlingseigenschaft erfüllen. Da es dem Beschwerdeführer nicht gelungen ist, eine flüchtlingsrechtlich erhebliche Gefährdung nachzuweisen oder glaubhaft zu machen, geht im vorliegenden Verfahren mit der Anordnung des Vollzugs der Wegweisung keine Verletzung des flüchtlingsrechtlichen Non-Refoulements einher.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(Grosse Kammer), Saadi gegen Italien, Urteil vom 28. Februar 2008, Beschwerde Nr. 37201/06, §§ 124-127, mit weiteren Hinweisen). Dies gelingt dem Beschwerdeführer nach dem oben Gesagten offensichtlich nicht, wenn auch die allgemeine Menschenrechtslage in der Türkei trotz einiger Fortschritte in verschiedener Hinsicht noch immer unbefriedigend ist und dies gerade auch den Umgang mit der kurdischen Opposition betrifft. Ungeachtet seines angeblich erheblichen Engagements für die PKK und die DTP hat der Beschwerdeführer bei seiner Wiedereinreise im Jahre 2006 offenbar problemlos alle Kontrollen passieren können und konnte im Verlauf der nachfolgenden Jahre in erheblichem Umfang und in aller Öffentlichkeit politisch tätig sein, ohne dass er Verfolgung im Sinne des gesetzlichen Flüchtlingsbegriffs ausgesetzt war. Es ist nicht nachvollziehbar, weshalb ihm solche ernsthaften Nachteile in Zukunft mit der erforderlichen hohen Wahrscheinlichkeit drohen sollte, zumal er sich nicht notwendigerweis in seine Herkunftsregion begeben muss. Nach dem Gesagten ist der Vollzug der Wegweisung sowohl im Sinne der asyl- als auch der völkerrechtlichen Bestimmungen zulässig.</w:t>
      </w:r>
    </w:p>
    <w:p>
      <w:r>
        <w:rPr>
          <w:b/>
        </w:rPr>
        <w:t>E. 7.3.2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Weder aus der allgemeinen Lage in der Türkei noch aus individuellen Begebenheiten ergibt sich die Unzumutbarkeit des Wegweisungsvollzugs. Der Beschwerdeführer ist aktenkundig noch jung und gesund. Er war bereits vor seiner Wiederausreise als selbständiger Händler tätig und hat sich im Rahmen dieser Tätigkeit regelmässig nach Istanbul begeben. Es ist davon auszugehen, dass es ihm gelingen wird, sich erneut eine Existenz aufzubauen, sei dies in seiner Herkunftsregion oder im Westen der Türkei. Dabei ist er offensichtlich nicht schlechter gestellt als zahlreiche Personen kurdischer Ethnie aus den östlichen Provinzen der Türkei, welche sich in einer der westlichen Grossstädte eine Existenz aufgebaut haben und dort leben. Insgesamt ist nicht davon auszugehen, der Beschwerdeführer gerate bei einem Vollzug der Wegweisung in eine existenzbedrohende Situation im Sinne der anzuwendenden Bestimmung.</w:t>
      </w:r>
    </w:p>
    <w:p>
      <w:r>
        <w:rPr>
          <w:b/>
        </w:rPr>
        <w:t>E. 7.3.3</w:t>
      </w:r>
    </w:p>
    <w:p>
      <w:r>
        <w:t>Der Beschwerdeführer verfügt über einen Nüfus. Im Übrigen obliegt es ihm, bei der Beschaffung der für eine Rückkehr notwendigen Dokumente mitzuwirken (Art. 8 Abs. 4 AsylG). Der Wegweisungsvollzug ist deshalb auch als möglich zu bezeichnen (Art. 83 Abs. 2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Beschwerdeverfahrens sind die Kosten im Betrag von Fr. 600.- dem Beschwerdeführer aufzuerlegen (Art. 63 Abs. 1 und 5 VwVG i.V.m. Art. 1 ff. des Reglements vom 21. Februar 2008 über die Kosten und Entschädigungen vor dem Bundesverwaltungsgericht [VGKE, SR 173.320.2]). Sie sind durch den am 30. September 2009 geleisteten Kostenvorschuss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