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E-5547/2025 vom 4. Februar 2026</w:t>
      </w:r>
    </w:p>
    <w:p>
      <w:r>
        <w:t>Bundesverwaltungsgericht, 2026-02-04, FR</w:t>
      </w:r>
    </w:p>
    <w:p>
      <w:r>
        <w:rPr>
          <w:b/>
        </w:rPr>
        <w:t xml:space="preserve">Quelle: </w:t>
      </w:r>
      <w:r>
        <w:t>https://mcp.opencaselaw.ch/entscheid/bvger_E-5547_2025</w:t>
      </w:r>
    </w:p>
    <w:p>
      <w:r>
        <w:t>FR: TAF E-5547/2025 du 4 février 2026</w:t>
      </w:r>
    </w:p>
    <w:p>
      <w:r>
        <w:t>IT: TAF E-5547/2025 del 4 febbraio 2026</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fait apparaître ni la crédibilité ni la pertinence de ses motifs.</w:t>
      </w:r>
    </w:p>
    <w:p>
      <w:r>
        <w:rPr>
          <w:b/>
        </w:rPr>
        <w:t>E. 3.2</w:t>
      </w:r>
    </w:p>
    <w:p>
      <w:r>
        <w:t>En effet, force est de constater que son récit est dénué de détails vérifiables ; il n'a fourni aucun renseignement sur son amie, hormis son nom, ni sur ses parents, exposant qu'il ne les avait jamais rencontrés, pas plus que sur les circonstances de son départ de Conakry et de son voyage ultérieur. Il est certes possible qu'il soit parti de Conakry au début de 2019, ainsi qu'il l'indique dans son recours, et ait gagné le Mali deux ans plus tard ; en effet la ville de « H._______ », où il aurait vécu entretemps, pourrait en réalité être celle de I._______, située non loin de la frontière malienne. Or, s'il apparaît ainsi envisageable qu'après avoir quitté Conakry, il ait vécu encore quelque deux ans en Guinée, sans connaître de difficultés, il y a alors lieu d'admettre que le recourant y a disposé d'une possibilité de refuge interne au sens de la jurisprudence (cf. ATAF 2011/51 consid. 8), voire que son départ de ce pays n'ait plus eu de lien de causalité avec les événements s'étant déroulés deux ans plus tôt à Conakry. Il lui sera ainsi loisible, à tout le moins, de se réinstaller dans cette même localité ou en un autre point du territoire guinéen, sa mère vivant en effet dans la région de J._______ et un de ses frères aînés à K._______ (cf. procès-verbal [p-v] de l'audition du 28 novembre 2024, questions 12, 13, 20 et 21). En outre, l'intéressé s'est contenté d'indiquer qu'un ami rencontré par hasard lui avait proposé de l'accompagner et de payer son voyage (cf. idem, question 63), si bien que les circonstances de ce départ apparaissent peu vraisemblables. Par ailleurs, ainsi que l'a rappelé le SEM, le recourant lui-même n'a connu aucun préjudice. S'agissant des risques que celui-là a invoqués, qu'ils proviennent des parents de son amie ou de militaires qu'ils auraient prétendument payés pour le retrouver, ne ressortent que d'ouï-dire qui sont insuffisants à en établir la crédibilité, d'autant plus dans le contexte de son récit indigent, dans lequel aucun début d'information notamment sur la famille de l'amie n'a été fourni, en dépit du fait qu'il aurait fréquenté celle-ci pendant une année (cf. idem, questions 39 et 40). Enfin, il y a lieu de rappeler que les risques de persécution émanant de tiers ne sont pertinents en matière d'asile que si la personne visée ne peut pas obtenir de protection contre leurs agissements ; ainsi, si nécessaire, il appartiendra à l'intéressé de solliciter en premier lieu la protection des autorités guinéennes, ce qu'il n'a pas fait avant de quitter son pays (cf. arrêts E-2138/2024 du 25 avril 2024 consid. 4.5 ; E-4261/2024 du 30 mai 2025 p. 9 ; E-1203/2025 du 2 juin 2025 consid. 5.5). A ce sujet, l'intéressé n'a pas non plus démontré de façon crédible et suffisamment étayée pour quelle raison il ne pourrait pas obtenir protection en cas de menace de ce type, pour autant que celle-ci soit, du reste, encore actuelle, les événements remontant à plus de sept ans et l'amie concernée s'étant mariée à un autre homme dans l'intervalle (cf. p-v l'audition du 28 novembre 2024, questions 38, 40 et 41). En effet, aucun élément ne permet de retenir de manière générale que les adeptes du wahhabisme, surtout implanté dans la communauté peule, disposent dans la capitale d'une influence leur permettant d'inciter la police ou l'armée à agir en leur faveur (à ce sujet, cf. notamment Commissariat général aux réfugiées et aux apatrides, Country of Origin Information, Coi Focus Guinée, Situation ethnique, 17 juillet 2025, accessible sous le site Internet https://www.cgvs.be/sites/default/files/rapporten/coi_focus_guinee._situation_ethnique_20250717.pdf et consulté en date du 19 janvier 2025). Pour le reste, il peut être renvoyé à la motivation de la décision attaquée, dès lors que celle-ci est suffisamment explicite ainsi que développée et que les arguments du recours ne permettent pas d'en remettre en cause le bien-fondé (art. 109 al. 3 LTF, par renvoi de l'art. 4 PA).</w:t>
      </w:r>
    </w:p>
    <w:p>
      <w:r>
        <w:rPr>
          <w:b/>
        </w:rPr>
        <w:t>E. 3.3</w:t>
      </w:r>
    </w:p>
    <w:p>
      <w:r>
        <w:t>Il s'ensuit que le recours doit être rejeté, en tant qu'il conteste le refus de reconnaître la qualité de réfugié de l'intéressé et rejette sa demande d'asile.</w:t>
      </w:r>
    </w:p>
    <w:p>
      <w:r>
        <w:rPr>
          <w:b/>
        </w:rPr>
        <w:t>E. 4</w:t>
      </w:r>
    </w:p>
    <w:p>
      <w:r>
        <w:t>Lorsqu'il rejette la demande d'asile ou qu'il refuse d'entrer en matière à ce sujet, le SEM prononce, en règle générale, le renvoi de Suisse et en ordonne l'exécution.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 du 10 décembre 1984 contre la torture et autres peines ou traitements cruels, inhumains ou dégradants [Conv. torture, RS 0.105]). La personne intéressée doit rendre hautement probable qu'elle serait visée personnellement - et non pas simplement du fait d'un hasard malheureux - par des mesures incompatibles avec la disposition en question (cf. ATAF 2014/28 consid. 11).</w:t>
      </w:r>
    </w:p>
    <w:p>
      <w:r>
        <w:rPr>
          <w:b/>
        </w:rPr>
        <w:t>E. 5.2.2</w:t>
      </w:r>
    </w:p>
    <w:p>
      <w:r>
        <w:t>L'exécution du renvoi ne contrevient pas au principe de non-refoulement de l'art. 5 LAsi. Comme exposé, le recourant n'a pas rendu vraisemblable qu'en cas de retour dans son pays d'origine, il serait exposé à de sérieux préjudices au sens de l'art. 3 LAsi.</w:t>
      </w:r>
    </w:p>
    <w:p>
      <w:r>
        <w:rPr>
          <w:b/>
        </w:rPr>
        <w:t>E. 5.2.3</w:t>
      </w:r>
    </w:p>
    <w:p>
      <w:r>
        <w:t>En outre, pour les motifs exposés précédemment (cf. consid. 3), l'intéressé n'a pas établi la haute probabilité d'un risque de traitements contraires aux engagements internationaux souscrits par la Suisse. Le Tribunal admet dès lors que l'exécution de son renvoi sous forme de refoulement ne transgresse aucun engagement de la Suisse relevant du droit international, de sorte qu'elle s'avère licite (art. 44 LAsi et 83 al. 3 LEI).</w:t>
      </w:r>
    </w:p>
    <w:p>
      <w:r>
        <w:rPr>
          <w:b/>
        </w:rPr>
        <w:t>E. 5.3.1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 ; 2011/50 consid. 8.1 à 8.3 et jurisp. cit.).</w:t>
      </w:r>
    </w:p>
    <w:p>
      <w:r>
        <w:rPr>
          <w:b/>
        </w:rPr>
        <w:t>E. 5.3.2</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du Tribunal E-902 et 909/2022 du 24 octobre 2022 consid. 8.2 ; E-2164/2025 et E-2267/2025 du 30 mai 2025 consid. 7.3). En outre, il ne ressort du dossier aucun élément dont on pourrait inférer que l'exécution du renvoi impliquerait une mise en danger concrète du recourant ; il est jeune et sans charge de famille, a été scolarisé jusqu'à la 10e année et a été sportif professionnel (cf. p-v de l'audition du 28 novembre 2024, questions 23 à 28). Par ailleurs, bien qu'il ait indiqué souffrir de douleurs dorsales et musculaires découlant de sa pratique sportive (cf. p-v de l'entretien Dublin ; p-v de l'audition du 28 novembre 2024, questions 28 et 71), aucun rapport médical ne relève l'existence de troubles de santé sérieux. Par ailleurs, bien qu'il ait annoncé en septembre 2025, soit depuis près de quatre mois, le dépôt prochain d'un rapport médical, aucun n'a été produit et plus rien n'a été avancé à ce sujet, de sorte qu'il n'appartient pas au Tribunal à ce stade d'instruire plus avant la question. Enfin, comme relevé, il dispose en Guinée d'un réseau familial, à savoir sa mère et un frère.</w:t>
      </w:r>
    </w:p>
    <w:p>
      <w:r>
        <w:rPr>
          <w:b/>
        </w:rPr>
        <w:t>E. 5.3.3</w:t>
      </w:r>
    </w:p>
    <w:p>
      <w:r>
        <w:t>Pour ces motifs, l'exécution du renvoi doit être considérée comme raisonnablement exigible.</w:t>
      </w:r>
    </w:p>
    <w:p>
      <w:r>
        <w:rPr>
          <w:b/>
        </w:rPr>
        <w:t>E. 5.4</w:t>
      </w:r>
    </w:p>
    <w:p>
      <w:r>
        <w:t>L'exécution n'est pas possible lorsque l'étranger ne peut pas quitter la Suisse pour son Etat d'origine, son Etat de provenance ou un Etat tiers, ni être renvoyé dans un de ces Etats (art. 83 al. 2 LEI).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6</w:t>
      </w:r>
    </w:p>
    <w:p>
      <w:r>
        <w:t>Dans ces conditions, la décision attaquée ne viole pas le droit fédéral, a établi de manière exacte et complète l'état de fait pertinent (art. 106 al. 1 LAsi) et, dans la mesure où ce grief peut être examiné (art. 49 PA ; cf. ATAF 2014/26 consid. 5), n'est pas inopportune.</w:t>
      </w:r>
    </w:p>
    <w:p>
      <w:r>
        <w:rPr>
          <w:b/>
        </w:rPr>
        <w:t>E. 7</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8</w:t>
      </w:r>
    </w:p>
    <w:p>
      <w:r>
        <w:t>En raison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