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E-5545/2017 vom 1. März 2018</w:t>
      </w:r>
    </w:p>
    <w:p>
      <w:r>
        <w:t>Bundesverwaltungsgericht, 2018-03-01, DE</w:t>
      </w:r>
    </w:p>
    <w:p>
      <w:r>
        <w:rPr>
          <w:b/>
        </w:rPr>
        <w:t xml:space="preserve">Quelle: </w:t>
      </w:r>
      <w:r>
        <w:t>https://mcp.opencaselaw.ch/entscheid/bvger_E-5545_2017</w:t>
      </w:r>
    </w:p>
    <w:p>
      <w:r>
        <w:t>FR: TAF E-5545/2017 du 1 mars 2018</w:t>
      </w:r>
    </w:p>
    <w:p>
      <w:r>
        <w:t>IT: TAF E-5545/2017 del 1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Soweit der Beschwerdeführer seinen Antrag auf Offenlegung der Quellen des Lagebilds SEM "erneuert", lässt die Begründung erkennen, dass er sich offensichtlich nicht auf die entsprechende Abweisung in der Zwischenverfügung vom 28. November 2017 - auf die verwiesen werden kann - bezieht. Näher braucht auf den erneuten Antrag nicht eingegangen zu werden.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Beschwerdeführer rügt in formeller Hinsicht eine Verletzung des Willkürverbots, des rechtlichen Gehörs sowie im Speziellen der Begründungspflicht. Ausserdem habe das SEM den rechtserheblichen Sachverhalt unvollständig und unrichtig festgestellt.</w:t>
      </w:r>
    </w:p>
    <w:p>
      <w:r>
        <w:rPr>
          <w:b/>
        </w:rPr>
        <w:t>E. 4.2</w:t>
      </w:r>
    </w:p>
    <w:p>
      <w:r>
        <w:t>Diese Einwände sind nach Durchsicht der Akten mehrheitlich zutreffend. Zunächst geht das Bundesverwaltungsgericht mit dem Beschwerdeführer einig, dass die in der angefochtenen Verfügung verwendete Wortwahl eine angemessene Sachlichkeit vermissen lässt. Dies gilt etwa für die Formulierung, die Aussagen des Beschwerdeführers seien von unschlüssigen Elementen "übersät," "selbst beim besten Willen" mute die Beschreibung der Flucht "phantastisch" an und die sich in Allgemeinplätzen erschöpfende Beschreibung der Haftzelle bestätige, dass der Beschwerdeführer "wohl nie und nimmer" in Haft gewesen sei. Ob der SEM-Sachbearbeiter, der die Verfügung verfasst hat, damit bereits als voreingenommen einzuschätzen ist, kann dahingestellt bleiben. Tatsächlich steht aber in einer Gesamtbetrachtung eine Verletzung des Willkürverbots zumindest im Raum. Zur nicht angemessenen Sprachwahl gesellt sich nämlich eine Häufung von groben Fehlern, wie das Übersehen beziehungsweise nicht würdigen offensichtlich wesentlicher Sachverhaltselemente, eine unschlüssige und nicht nachvollziehbare Argumentation an gleich mehreren Stellen sowie ein unzulässiger direkter Schluss von als unglaubhaft qualifizierten Asylgründen auf eine Verletzung der Wahrheits- und Mitwirkungspflicht unter dem Aspekt des Wegweisungsvollzugs. Eine weitere Auseinandersetzung mit der Willkürrüge erübrigt sich, weil die angefochtene Verfügung ohnehin zu kassieren ist.</w:t>
      </w:r>
    </w:p>
    <w:p>
      <w:r>
        <w:rPr>
          <w:b/>
        </w:rPr>
        <w:t>E. 4.3.1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Unvollständig ist die Sachverhaltsfeststellung dann, wenn die Behörde trotz der geltenden Untersuchungsmaxime den Sachverhalt nicht von Amtes wegen abgeklärt hat oder nicht alle für den Entscheid wesentlichen Sachumstände berücksichtigt worden sind (vgl. dazu Benjamin Schindler, in: Kommentar zum VwVG, 2008, Art. 49 N. 28). Ihre Grenze findet die Untersuchungspflicht in der Mitwirkungspflicht der asylsuchenden Person (Art. 8 AsylG). 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naturgemäss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(Patrick Sutter, in: Kommentar VwVG, 2008, Art. 32 VwVG, Rz. 2).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4.3.2</w:t>
      </w:r>
    </w:p>
    <w:p>
      <w:r>
        <w:t>Die Argumentation in der vorinstanzlichen Verfügung ist weder schlüssig noch nachvollziehbar. Insbesondere aber ist ihr eine bei der Beurteilung der Glaubhaftigkeit von Asylvorbringen im Sinne von Art. 7 AsylG vorzunehmende Abwägung aller für und gegen den Gesuchsteller sprechenden Argumente (vgl. Anne Kneer / Linus Sonderegger, Glaubhaftigkeitsprüfung im Asylverfahren - Ein Überblick über die Rechtsprechung des Bundesverwaltungsgerichts, Asyl 2015/2 S. 4 m.w.H.) nicht zu entnehmen. Das SEM hält unter dem Blickwinkel von Art. 7 AsylG zunächst fest, der Beschwerdeführer habe seine Asylvorbringen in der BzP und in der Anhörung im Grossen und Ganzen deckungsgleich geschildert - regelmässig ein zu Gunsten eines Betroffenen zu würdigendes Element -, um im Folgesatz auszuführen, die Aussagen seien von unschlüssigen Elementen "übersät". Als eine der "frappantesten Ungereimtheiten" wird dann der vom Beschwerdeführer beschriebene "modus operandi", wonach die Sicherheitskräfte zunächst an die Toilettentüre geklopft hätten, bevor sie die Türe eingerammt und ihn festgenommen hätten, genannt; mögliche Beweggründe für ein "derart zuvorkommendes und unmilitärisches" Verhalten seien nicht ersichtlich. Nicht nur inhaltlich überzeugt diese Aussage nicht, entspricht doch ein solches Vorgehen, wie der Rechtsvertreter zutreffend einwendet, wohl eher dem Üblichen (darüber hinaus ist die entsprechende Schilderung des Beschwerdeführers realitätsnah ausgefallen [u.a. A12 S. 8 F49]). Im Widerspruch zur gerade gemachten Einschätzung dieses Vorbringens als eine der "frappanteste Ungereimtheiten" schätzt das SEM sie im nächsten Abschnitt als "Dissonanz", ja gar "Lappalie" ein. Aufgrund von Argumenten wie, die Beschreibung der Haftzelle im D._______ erschöpfe sich in "Allgemeinplätzen", die Flucht aus dem D._______ mute "phantastisch" und jene aus der Haft in G._______ "überaus abenteuerlich" an - wobei nirgends ersichtlich wird, weshalb diese Adjektive in Bezug auf die Schilderungen des Beschwerdeführers gerechtfertigt sein könnten - kommt es dann zum Schluss, bis auf seine unerheblichen der LTTE geleisteten und den heimatlichen Behörden unbekannten Hilfsleistungen hielten die "gesamten Kernvorbringen" den Anforderungen an die Glaubhaftigkeit nicht stand, weshalb deren Asylrelevanz nicht geprüft werden müsse. Widersprüchlich ist die vorinstanzliche Argumentation auch dort, wo das SEM zunächst ausführt, die Herkunft, das Alter des Beschwerdeführers und seine Landesabwesenheit könnten die Wachsamkeit der sri-lankischen Behörden erhöhen, woraus es umgehend den widersinnigen Schluss zieht, es bestehe "daher" kein hinreichend begründeter Anlass zur Annahme, dass er Massnahmen zu befürchten hätte, die über einen sogenannten "background check" hinausgingen. Hinzu kommt, dass das SEM eine Vielzahl von gewichtigen, mit Realzeichen versehenen Aussagen des Beschwerdeführers mit keinem Wort würdigt, so insbesondere die Umschreibung der erlittenen Folter (u.a.: "Eine mit (...) wurde mir auf den Kopf gestülpt" [A12 S. 6 F26, 59]; "Ich wurde öfters mit einem (...) attackiert" [A12 S. 10 F58]; "Als ich mit verbunden Augen auf dem Boden lag, hat ein Beamter meinen Kopf mit seinem Fuss auf den Boden gedrückt [GS zeigt es mit der Hand] und jemand anderes hat meinen Rücken mit einer (...), so glaube ich, verbrannt" [A12 S. 14 F105]; "Als sie meine Genitalien fest drückten, haben sie auch in meinen unteren Bauchbereich geboxt und geschlagen" [A12 S. 17 F136]), der seit der ersten Verhaftung aufgrund eines Schlages mit einem Gewehrkolben kaputte Zahn, der in der Schweiz habe gezogen werden müssen (A12 S. 9 F53), die Schmerzen im Unterleib und im Genitalbereich, welche unter Umständen auf die Misshandlungen zurückzuführen sind (A12 S. 21 F176) oder die Tatsache, dass der Beschwerdeführer seine Umschreibungen auch zu relativieren vermochte (z.B. "Während den Einvernahmen [im D._______] haben sie mich nicht mehr geschlagen" [A12 S. 11 F76]). Schwer wiegt auch, dass der Umstand, dass der Beschwerdeführer noch heute mit Narben gekennzeichnet ist, in der Verfügung des SEM ebenso wenig Niederschlag fand. Dies, obwohl bereits an der BzP der klare Hinweis der SEM-Sachbearbeiterin erging, dass der Rücken des Beschwerdeführers "mit mehreren, circa 4-6cm langen und circa 1cm breiten Narben übersät [sei], die aufgrund der hellrötlichen Farbe noch relativ frisch zu sein scheinen" (A4 S. 8), was in das Bild der Sachverhaltsdarstellung des Beschwerdeführer passen würde. Die Bemerkung des Sachbearbeiters während der Anhörung auf die Frage des Beschwerdeführers, ob er ihm die Narben zeigen solle, "er denke, das tue nichts zur Sache" (A12/15 F106 f.) ist so ebenfalls nicht haltbar. Nebst den soeben genannten einzelnen Vorbringen, die zu Unrecht entweder in der Verfügung keinen Niederschlag fanden oder aber im Sachverhalt zwar aufgenommen worden und dann ungewürdigt geblieben sind, ist hier festzustellen, dass, bei einer Berücksichtigung der praxisgemäss entscheidenden Elemente zur Beurteilung der Glaubhaftigkeit von Asylvorbringen (Art. 7 AsylG; BVGE 2010/57 E. 2.5f., Entscheid der Schweizerischen Asylrekurskommission [EMARK] 2004 Nr. 1 E. 5 S. 4 ff.) der Sachverhaltsdarstellung des Beschwerdeführers zahlreiche weitere Elemente, die zu seinen Gunsten sprechen, entnommen werden können.</w:t>
      </w:r>
    </w:p>
    <w:p>
      <w:r>
        <w:rPr>
          <w:b/>
        </w:rPr>
        <w:t>E. 4.3.3</w:t>
      </w:r>
    </w:p>
    <w:p>
      <w:r>
        <w:t>Hinzu kommt, dass das SEM mit den geschilderten Versäumnissen auch die aktuelle Rechtsprechung des Bundesverwaltungsgerichts missachtet hat, sind doch in Bezug auf Sri Lanka Narben als Risikofaktor unter dem Aspekt einer begründeten Furcht vor künftiger Verfolgung respektive unter dem Aspekt der Zulässigkeit des Wegweisungsvollzugs definiert worden (vgl. Referenzurteil E-1866/2015 vom 15. Juli 2016 E. 8.4.5). Im Übrigen wird in der Beschwerde zu Recht darauf hingewiesen, dass auch die vorgebrachten exilpolitischen Tätigkeiten in der Verfügung - obwohl diese ebenfalls Risikofaktoren darstellen - ungewürdigt blieben (vgl. Beschwerde vom 28. September 2017, S. 23 f., 30 f.). Auch damit versäumte es das SEM offensichtlich, alle für den Entscheid wesentlichen Sachumstände zu berücksichtigen. Da aus der Verfügung nicht ersichtlich ist, ob das SEM die Narben oder die exilpolitischen Aktivitäten des Beschwerdeführers überhaupt zur Kenntnis genommen hat - geschweige denn, dass es sich damit auseinandergesetzt hätte - kam es nebst einer Verletzung des rechtlichen Gehörs des Beschwerdeführers, seiner Pflicht zur vollständigen Feststellung des rechtserheblichen Sachverhaltes nicht nach.</w:t>
      </w:r>
    </w:p>
    <w:p>
      <w:r>
        <w:rPr>
          <w:b/>
        </w:rPr>
        <w:t>E. 4.3.4</w:t>
      </w:r>
    </w:p>
    <w:p>
      <w:r>
        <w:t>Unhaltbar ist schliesslich die Begründung in der angefochtenen Verfügung für den angeblich zumutbaren Wegweisungsvollzug: Die "Ausreisegründe" seien als unglaubhaft erachtet worden, wie unter Teil I des Entscheides - notabene findet sich unter dieser Ziffer die Sachverhaltsdarstellung - festgestellt worden sei. Daraus wird direkt auf die Verletzung der Mitwirkungspflicht und gar auf eine Täuschungsabsicht des Beschwerdeführers geschlossen, weshalb es dem SEM nicht möglich sei, die Zumutbarkeit des Wegweisungsvollzugs zu überprüfen; dies obwohl es im Rahmen der Prüfung der Asylgründe keinerlei Zweifel an der Herkunft des Beschwerdeführers geäussert hatte. Die Unterstellung einer Täuschungsabsicht ist umso abstruser, als der Beschwerdeführer - und zwar bereitwillig - zu seiner persönlichen und familiären Situation eher begünstigende Umstände dargelegt hatte (A4/5 u.a. F2.01, F3.01 und A12/3 F13 ff.). Auch in diesem Punkt ist die Vorinstanz seiner Prüfungs- und Begründungspflicht nicht nachgekommen.</w:t>
      </w:r>
    </w:p>
    <w:p>
      <w:r>
        <w:rPr>
          <w:b/>
        </w:rPr>
        <w:t>E. 4.4</w:t>
      </w:r>
    </w:p>
    <w:p>
      <w:r>
        <w:t>Es erübrigt sich auf die weiteren Einwände in der Rechtsmitteleingabe, auf welche ergänzend verwiesen werden kann, näher einzugehen, weil die Angelegenheit zu neuem Entscheid an die Vorinstanz zurückzuweisen ist. Die Frage nach einer Heilung der aufgezeigten Verfahrensmängel auf Beschwerdeebene kann sich angesichts der schwerwiegenden formellen Mängel nicht stellen. Das SEM hat einer neuen Verfügung sämtliche relevanten Sachverhaltselemente (insbesondere die deutlichen Narben des Beschwerdeführers, seine noch heute bestehenden gesundheitlichen Beschwerden und die geltend gemachten exilpolitischen Tätigkeiten) - gegebenenfalls vollständig abgeklärt - ebenso wie die übrigen für die Glaubhaftigkeit seiner Sachverhaltsdarstellung sprechenden Elemente zu Grunde zu legen und einer sachgerechten, ernsthaften und ausgewogenen Würdigung zu unterziehen. Dabei hat es selbstverständlich der massgeblichen Rechtsprechung des Bundesverwaltungsgerichts in jeder Hinsicht Rechnung zu tragen. Auch mit den noch offenen Anträgen und Vorbringen des Beschwerdeführers auf Beschwerdestufe wird sich das SEM in sachgerechter Weise auseinanderzusetzen zu haben, bilden sie doch integralen Bestandteil des wiederaufzunehmenden erstinstanzlichen Verfahrens.</w:t>
      </w:r>
    </w:p>
    <w:p>
      <w:r>
        <w:rPr>
          <w:b/>
        </w:rPr>
        <w:t>E. 5</w:t>
      </w:r>
    </w:p>
    <w:p>
      <w:r>
        <w:t>Nach dem Gesagten verletzt die angefochtene Verfügung Bundesrecht und stellt den rechtserheblichen Sachverhalt unvollständig fest. Die Beschwerde ist im Hauptbegehren gutzuheissen, die angefochtene Verfügung ist aufzuheben und die Sache ist zu neuer Entscheidung an das SEM zurückzuweisen.</w:t>
      </w:r>
    </w:p>
    <w:p>
      <w:r>
        <w:rPr>
          <w:b/>
        </w:rPr>
        <w:t>E. 6.1</w:t>
      </w:r>
    </w:p>
    <w:p>
      <w:r>
        <w:t>Bei diesem Ausgang des Verfahrens sind keine Kosten aufzuerlegen (Art. 63 Abs. 1 und 2 VwVG).</w:t>
      </w:r>
    </w:p>
    <w:p>
      <w:r>
        <w:rPr>
          <w:b/>
        </w:rPr>
        <w:t>E. 6.2</w:t>
      </w:r>
    </w:p>
    <w:p>
      <w:r>
        <w:t>Dem vertretenen Beschwerdeführer ist angesichts seines Obsiegens in Anwendung von Art. 64 VwVG und Art. 7 Abs. 1 VGKE eine Entschädi-gung für die ihm notwendigerweise erwachsenen Parteikosten zuzuspre-chen. Es wurde keine Kostennote zu den Akten gereicht, weshalb die notwendigen Parteikosten aufgrund der Akten zu bestimmen sind (Art. 8 Abs. 2 und Art. 14 Abs. 2 in fine VGKE). Gestützt auf die in Betracht zu ziehenden Bemessungsfaktoren (Art. 9-13 VGKE) ist die Parteientschädigung auf insgesamt Fr. 2000.-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