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E-5542/2015 vom 17. September 2015</w:t>
      </w:r>
    </w:p>
    <w:p>
      <w:r>
        <w:t>Bundesverwaltungsgericht, 2015-09-17, DE</w:t>
      </w:r>
    </w:p>
    <w:p>
      <w:r>
        <w:rPr>
          <w:b/>
        </w:rPr>
        <w:t xml:space="preserve">Quelle: </w:t>
      </w:r>
      <w:r>
        <w:t>https://mcp.opencaselaw.ch/entscheid/bvger_E-5542_2015</w:t>
      </w:r>
    </w:p>
    <w:p>
      <w:r>
        <w:t>FR: TAF E-5542/2015 du 17 septembre 2015</w:t>
      </w:r>
    </w:p>
    <w:p>
      <w:r>
        <w:t>IT: TAF E-5542/2015 del 17 settembre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b AsylG tritt die Vorinstanz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 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stellt in der angefochtenen Verfügung fest, die italienischen Behörden hätten innerhalb der festgelegten Frist zu ihrem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22 Abs. 7 Dublin-III-VO sei die Zuständigkeit zur Prüfung des Asyl- und Wegweisungsverfahrens daher am 30. August 2015 an Italien übergegangen. Der Wunsch der Beschwerdeführerin nach einem weiteren Verbleib in der Schweiz habe keinen Einfluss auf die Zuständigkeit für das Asyl- und Wegweisungsverfahren, da es grundsätzlich nicht Sache der betroffenen Person sei, den für ihr Asylverfahren zuständigen Staat selber zu bestimmen. Die Bestimmung des zuständigen Staates obliege allein den beteiligten Dublin-Staaten. Zudem könne sie aus dem Umstand, dass Verwandte (Neffe sowie weitere, verwandtschaftlich nicht näher bestimmte Person) von ihr in der Schweiz leben würden, nichts zu ihren Gunsten ableiten. Sodann sei Italien sowohl Signatarstaat des Abkommens vom 28. Juli 1951 über die Rechtsstellung der Flüchtlinge (FK, SR 0.142.30) als auch der EMRK. Es würden keine konkreten Anhaltspunkte dafür vorliegen, dass sich Italien nicht an seine völkerrechtlichen Verpflichtungen halten würde. Darüber hinaus sei Italien an die Richtlinie 2013/33/EU des Europäischen Parlaments und des Rates vom 26. Juni 2013 (sog. Aufnahmerichtlinie) gebunden, welche zahlreiche Mindestnormen für die Aufnahme und Betreuung von Asylsuchenden beinhalte. Nach der Rückkehr nach Italien könne die Beschwerdeführerin dort ein Asylgesuch einreichen. Dessen Überprüfung obliege den italienischen Behörden. Sodann liege aufgrund der Akten kein Grund für einen Selbsteintritt der Schweiz vor. Die Überstellung nach Italien habe bis spätestens am 29. Januar 2016 zu erfolgen.</w:t>
      </w:r>
    </w:p>
    <w:p>
      <w:r>
        <w:rPr>
          <w:b/>
        </w:rPr>
        <w:t>E. 5.2</w:t>
      </w:r>
    </w:p>
    <w:p>
      <w:r>
        <w:t>In der Rechtsmitteleingabe macht die Beschwerdeführerin geltend, sie habe ihre Fingerabdrücke in Chiasso gegeben, weshalb die Schweiz zuständig sei. Gemäss ihren eigenen Angaben hat die Beschwerdeführerin auf dem Seeweg von Libyen kommend zuerst den Dublin-Mitgliedstaat Italien erreicht, dies ohne gültigen Einreisetitel und somit illegal. Von Italien aus reiste sie in die Schweiz ein. Bei dieser Sachlage ist gemäss Art. 13 Abs. 1 Dublin-III-VO Italien für die Prüfung des Asylantrages der Beschwerdeführerin zuständig. Dabei verlangt die vorgenannte Bestimmung nicht, dass die Betroffene im zuerst erreichten Dublin-Mitgliedstaat daktyloskopisch erfasst wurde. Vielmehr genügen für die Annahme der Zuständigkeit Indizien, wie eine illegale Einreise. Weiter ist festzustellen, dass Italien das Ersuchen der Vorinstanz um Aufnahme der Beschwerdeführerin innert der gesetzlichen Frist von zwei Monaten nicht beantwortet hat. Damit hat Italien seine Zuständigkeit aufgrund der sogenannten Verfristung akzeptiert (Art. 22 Abs. 1 und 7 Dublin-III-VO). Die Beschwerdeführerin vermag somit aus dem Einwand, sie habe ihre Fingerabdrücke nur in der Schweiz gegeben, nichts zu ihren Gunsten abzuleiten. Sodann ist für das vorliegende Verfahren unerheblich, was die Beschwerdeführerin bei der Polizei ausgesagt hat.</w:t>
      </w:r>
    </w:p>
    <w:p>
      <w:r>
        <w:rPr>
          <w:b/>
        </w:rPr>
        <w:t>E. 5.3</w:t>
      </w:r>
    </w:p>
    <w:p>
      <w:r>
        <w:t>Italien ist Signatarstaat der FK, der EMRK und des Übereinkommens vom 10. Dezember 1984 gegen Folter und andere grausame, unmenschliche oder erniedrigende Behandlung oder Strafe (FoK, SR 0.105). Unter dem Dublin-System besteht nach wie vor die grundsätzliche Vermutung, dass alle Mitgliedstaaten beziehungsweise staatsvertraglich assoziierten Staaten die Rechte der EMRK garantieren. Es obliegt der Beschwerdeführerin, diese Vermutung umzustossen. Dabei hat sie ernsthafte Anhaltspunkte vorzubringen, dass die italienischen Behörden in ihrem Fall das Völkerrecht verletzen und ihr nicht den notwendigen Schutz gewähren oder sie menschenunwürdigen Lebensumständen aussetzen würden, mithin in ihrem Fall Art. 3 EMRK oder eine andere völkerrechtliche Verpflichtung verletzt ist (vgl. Europäischer Gerichtshof für Menschenrechte [EGMR], M.S.S. gegen Belgien und Griechenland [Appl. No. 30696/09], Urteil vom 21. Januar 2011, § 84 f. und 250; ebenso Urteil des Gerichtshofes der Europäischen Union [EuGH] vom 21. Dezember 2011 in der Rechtssache C-411/10 und C-493). Solches macht die Beschwerdeführerin in der Rechtsmitteleingabe offensichtlich nicht geltend und ist aufgrund der Akten auch nicht ersichtlich. In Fortführung der bisherigen Praxis des Bundesverwaltungsgerichts ist somit von der Vermutung auszugehen, dass Italien die Gebote des flüchtlingsrechtlichen und des menschenrechtlichen Rückschiebeverbots beachtet. Bei einer Überstellung ist weiter davon auszugehen, Italien komme kraft seiner Mitgliedschaft den Verpflichtungen aus der Richtlinie 2005/85/EG des Rates vom 1. Dezember 2005 über Mindestnormen für Verfahren in den Mitgliedstaaten zur Zuerkennung und Aberkennung der Flüchtlingseigenschaft (sog. Verfahrensrichtlinie) und jenen aus der Aufnahmerichtlinie, darunter auch dem Refoulement-Verbot, nach (vgl. BVGE 2010/45 E. 7.4.2). Eine allfällige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Filzwieser/Sprung, Dublin-III-Verordnung, Wien/ Graz 2014, Art. 17 K5 S. 159). Aus blossen Problemen im Bereich der Aufnahmebedingungen für Asylsuchende lässt sich noch nicht auf eine systematische Verletzung der Aufnahmerichtlinie schliessen.</w:t>
      </w:r>
    </w:p>
    <w:p>
      <w:r>
        <w:rPr>
          <w:b/>
        </w:rPr>
        <w:t>E. 5.4</w:t>
      </w:r>
    </w:p>
    <w:p>
      <w:r>
        <w:t>Zusammenfassend liegen somit keine Gründe vor, welche eine Überstellung der Beschwerdeführerin nach Italien als unzulässig oder unzumutbar erscheinen liessen. Der Umstand, dass Verwandte der Beschwerdeführerin in der Schweiz leben, stellt wie bereits die Vorinstanz zu Recht festgestellt hat keinen Grund für einen Selbsteintritt der Schweiz dar.</w:t>
      </w:r>
    </w:p>
    <w:p>
      <w:r>
        <w:rPr>
          <w:b/>
        </w:rPr>
        <w:t>E. 6.1</w:t>
      </w:r>
    </w:p>
    <w:p>
      <w:r>
        <w:t>Italien ist somit für die Durchführung des Asyl- und Wegweisungsverfahrens der Beschwerdeführerin gemäss der Dublin-III-VO zuständig und entsprechend verpflichtet, sie gemäss Art. 13 Abs. 1 Dublin-III-VO aufzunehmen. Die Vorinstanz ist in Anwendung von Art. 31a Abs. 1 Bst. b AsylG zu Recht auf das Asylgesuch der Beschwerdeführerin nicht eingetreten. Da sie auch nicht im Besitz einer gültigen Aufenthalts- oder Niederlassungsbewilligung ist, hat die Vorinstanz in Anwendung von Art. 44 AsylG ebenfalls zu Recht die Überstellung nach Italien angeordnet (Art. 32 Bst. a AsylV 1).</w:t>
      </w:r>
    </w:p>
    <w:p>
      <w:r>
        <w:rPr>
          <w:b/>
        </w:rPr>
        <w:t>E. 6.2</w:t>
      </w:r>
    </w:p>
    <w:p>
      <w:r>
        <w:t>Unter diesen Umständen sind allfällige Vollzugshindernisse gemäss Art. 83 Abs. 3 und 4 AuG (SR142.20)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angefochtene Verfügung Bundesrecht nicht verletzt und auch sonst nicht zu beanstanden ist (Art. 106 AsylG). Die Beschwerde ist abzuweisen. Damit ist der Antrag auf Wiederherstellung der aufschiebenden Wirkung gegenstandslos geworden.</w:t>
      </w:r>
    </w:p>
    <w:p>
      <w:r>
        <w:rPr>
          <w:b/>
        </w:rPr>
        <w:t>E. 8.1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um Gewährung der unentgeltlichen Prozessführung nicht stattzugeben ist.</w:t>
      </w:r>
    </w:p>
    <w:p>
      <w:r>
        <w:rPr>
          <w:b/>
        </w:rPr>
        <w:t>E. 8.2</w:t>
      </w:r>
    </w:p>
    <w:p>
      <w:r>
        <w:t>Bei diesem Ausgang des Verfahrens sind die Kosten von Fr. 600.- (Art. 1 - 3 des Reglements vom 21. Februar 2008 über die Kosten und Entschädigungen vor dem Bundesverwaltungsgericht [VGKE], SR 173.320.2) der Beschwerdeführerin aufzuerlegen (Art. 63 Abs. 1 VwVG). Der Antrag auf Verzicht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