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E-5541/2012 vom 23. April 2013</w:t>
      </w:r>
    </w:p>
    <w:p>
      <w:r>
        <w:t>Bundesverwaltungsgericht, 2013-04-23, FR</w:t>
      </w:r>
    </w:p>
    <w:p>
      <w:r>
        <w:rPr>
          <w:b/>
        </w:rPr>
        <w:t xml:space="preserve">Quelle: </w:t>
      </w:r>
      <w:r>
        <w:t>https://mcp.opencaselaw.ch/entscheid/bvger_E-5541_2012</w:t>
      </w:r>
    </w:p>
    <w:p>
      <w:r>
        <w:t>FR: TAF E-5541/2012 du 23 avril 2013</w:t>
      </w:r>
    </w:p>
    <w:p>
      <w:r>
        <w:t>IT: TAF E-5541/2012 del 23 aprile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En l'espèce, le Tribunal est saisi d'un recours contre le refus de l'ODM d'entrer en matière sur la demande de réexamen, et doit limiter sa cognition à cette question ; en conséquence, les conclusions portant sur le fond sont irrecevables (cf. JICRA 2003 n° 7 consid. consid. 2a) aa) p. 43). L'ODM a considéré que les motifs soulevés n'avaient pas de caractère nouveau, ce qui justifiait de ne pas entrer en matière sur la demande. La seule question qui se pose est donc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w:t>
      </w:r>
    </w:p>
    <w:p>
      <w:r>
        <w:rPr>
          <w:b/>
        </w:rPr>
        <w:t>E. 3.2</w:t>
      </w:r>
    </w:p>
    <w:p>
      <w:r>
        <w:t>En l'espèce, la recourante n'a pas informé le Tribunal, alors saisi du recours, du début de son traitement ; celui-ci ayant commencé en mars 2011, bien avant la fin de la procédure ordinaire, il incombait à l'intéressée d'en faire état, ce d'autant plus que rien n'était, en soi, de nature à l'en empêcher. L'agression sexuelle dont elle a été victime en 1999 constitue en revanche un point spécifique. Vu les troubles psychologiques graves que manifeste la recourante, le Tribunal ne voit pas de motifs de douter de la réalité de cet événement, bien que l'ODM, de manière allusive et peu claire, semble la remettre en cause dans sa réponse. Les faits sont certes anciens ; toutefois, comme l'a confirmé le médecin traitant, ce n'est qu'en septembre 2012 que la recourante a pu en faire état. Or il a été plusieurs fois constaté par la jurisprudence (ATAF 2009/51 consid. 4.2.3 p. 743 et JICRA 2003 n° 17 consid. 4a-4c p. 105-107) que la victime de ce type de traumatisme pouvait se trouver empêchée d'en parler, parfois pour une longue période, en raison de sentiments de honte et de culpabilité aggravés par des inhibitions d'ordre culturel. Dans cette mesure, on ne peut lui opposer le caractère tardif de ses déclarations, ni mettre en doute leur vraisemblance pour ce seul motif. Dans le cas d'espèce, en outre, la dégradation de l'état de santé psychique de la recourante et le départ de son mari sont des éléments postérieurs à la clôture de la procédure ordinaire. La disparition de D._______ est clairement en relation avec l'aveu fait par sa femme, bien que l'ODM, dans sa réponse, semble sous-entendre que cette disparition est une mise en scène destinée à tromper l'autorité ; rien ne permet toutefois de corroborer cette thèse. En conclusion, les motifs de réexamen soulevés sont nouveaux au sens vu ci-dessus.</w:t>
      </w:r>
    </w:p>
    <w:p>
      <w:r>
        <w:rPr>
          <w:b/>
        </w:rPr>
        <w:t>E. 3.3</w:t>
      </w:r>
    </w:p>
    <w:p>
      <w:r>
        <w:t>En conséquence, le recours doit être admis et la décision attaquée annulée. L'autorité de première instance est donc invitée entrer en matière sur la demande de réexamen déposée par la recourante et ses enfants. Il incombera dès lors à l'autorité de première instance de déterminer si les moyens invoqués sont susceptibles de modifier l'état de fait retenu dans la première décision dans une mesure suffisante pour mener, après appréciation juridique de la nouvelle situation, à une décision différente.</w:t>
      </w:r>
    </w:p>
    <w:p>
      <w:r>
        <w:rPr>
          <w:b/>
        </w:rPr>
        <w:t>E. 4.1</w:t>
      </w:r>
    </w:p>
    <w:p>
      <w:r>
        <w:t>Le recours étant admis, il n'est pas perçu de frais ; la requête d'assistance judiciaire partielle est ainsi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En l'absence de note de frais, le Tribunal fixe le montant de l'indemnité, sur la base des éléments du dossier de seconde instance (art. 14 al. 2 du règlement du 11 décembre 2006 concernant les frais, dépens et indemnités fixés par le Tribunal administratif fédéral [FITAF, RS 173.320.2]), à savoir un acte de recours, une réplique et trois rapports médicaux ; les dépens sont ainsi arrêtés à la somme globale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